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7F61" w:rsidRPr="00C77F61" w:rsidRDefault="00C77F61" w:rsidP="00C77F61">
      <w:pPr>
        <w:spacing w:line="240" w:lineRule="auto"/>
        <w:jc w:val="center"/>
        <w:rPr>
          <w:rFonts w:ascii="BrowalliaUPC" w:hAnsi="BrowalliaUPC" w:cs="BrowalliaUPC" w:hint="cs"/>
          <w:b/>
          <w:bCs/>
          <w:sz w:val="32"/>
          <w:szCs w:val="32"/>
        </w:rPr>
      </w:pPr>
      <w:r w:rsidRPr="00C77F61">
        <w:rPr>
          <w:rFonts w:ascii="BrowalliaUPC" w:hAnsi="BrowalliaUPC" w:cs="BrowalliaUPC"/>
          <w:b/>
          <w:bCs/>
          <w:sz w:val="32"/>
          <w:szCs w:val="32"/>
          <w:cs/>
        </w:rPr>
        <w:t>มติการประชุมคณะกรรมการบริหารนโยบายพลังงาน</w:t>
      </w:r>
      <w:r>
        <w:rPr>
          <w:rFonts w:ascii="BrowalliaUPC" w:hAnsi="BrowalliaUPC" w:cs="BrowalliaUPC" w:hint="cs"/>
          <w:b/>
          <w:bCs/>
          <w:sz w:val="32"/>
          <w:szCs w:val="32"/>
          <w:cs/>
        </w:rPr>
        <w:t xml:space="preserve"> </w:t>
      </w:r>
      <w:r w:rsidRPr="00C77F61">
        <w:rPr>
          <w:rFonts w:ascii="BrowalliaUPC" w:hAnsi="BrowalliaUPC" w:cs="BrowalliaUPC"/>
          <w:b/>
          <w:bCs/>
          <w:sz w:val="32"/>
          <w:szCs w:val="32"/>
          <w:cs/>
        </w:rPr>
        <w:t>ครั้งที่ 7/2561 (ครั้งที่ 54)</w:t>
      </w:r>
    </w:p>
    <w:p w:rsidR="004F0454" w:rsidRDefault="00C77F61" w:rsidP="00C77F61">
      <w:pPr>
        <w:spacing w:line="240" w:lineRule="auto"/>
        <w:jc w:val="center"/>
        <w:rPr>
          <w:rFonts w:ascii="BrowalliaUPC" w:hAnsi="BrowalliaUPC" w:cs="BrowalliaUPC"/>
          <w:b/>
          <w:bCs/>
          <w:sz w:val="32"/>
          <w:szCs w:val="32"/>
        </w:rPr>
      </w:pPr>
      <w:r w:rsidRPr="00C77F61">
        <w:rPr>
          <w:rFonts w:ascii="BrowalliaUPC" w:hAnsi="BrowalliaUPC" w:cs="BrowalliaUPC"/>
          <w:b/>
          <w:bCs/>
          <w:sz w:val="32"/>
          <w:szCs w:val="32"/>
          <w:cs/>
        </w:rPr>
        <w:t>เมื่อวันจันทร์ที่ 26 มีนาคม 2561 เวลา 15.00 น.</w:t>
      </w:r>
    </w:p>
    <w:p w:rsidR="00C77F61" w:rsidRDefault="00C77F61" w:rsidP="00C77F61">
      <w:pPr>
        <w:spacing w:line="240" w:lineRule="auto"/>
        <w:jc w:val="center"/>
        <w:rPr>
          <w:rFonts w:ascii="BrowalliaUPC" w:hAnsi="BrowalliaUPC" w:cs="BrowalliaUPC"/>
          <w:b/>
          <w:bCs/>
          <w:sz w:val="32"/>
          <w:szCs w:val="32"/>
        </w:rPr>
      </w:pPr>
    </w:p>
    <w:p w:rsidR="00473140" w:rsidRDefault="00B37711" w:rsidP="00CE560F">
      <w:pPr>
        <w:spacing w:line="240" w:lineRule="auto"/>
        <w:rPr>
          <w:rFonts w:ascii="BrowalliaUPC" w:hAnsi="BrowalliaUPC" w:cs="BrowalliaUPC"/>
          <w:sz w:val="32"/>
          <w:szCs w:val="32"/>
          <w:u w:val="single"/>
        </w:rPr>
      </w:pPr>
      <w:r>
        <w:rPr>
          <w:rFonts w:ascii="BrowalliaUPC" w:hAnsi="BrowalliaUPC" w:cs="BrowalliaUPC"/>
          <w:b/>
          <w:bCs/>
          <w:sz w:val="32"/>
          <w:szCs w:val="32"/>
          <w:cs/>
        </w:rPr>
        <w:t xml:space="preserve">เรื่องที่ </w:t>
      </w:r>
      <w:r w:rsidR="00C77F61">
        <w:rPr>
          <w:rFonts w:ascii="BrowalliaUPC" w:hAnsi="BrowalliaUPC" w:cs="BrowalliaUPC"/>
          <w:b/>
          <w:bCs/>
          <w:sz w:val="32"/>
          <w:szCs w:val="32"/>
        </w:rPr>
        <w:t>5</w:t>
      </w:r>
      <w:r w:rsidR="00473140" w:rsidRPr="00473140">
        <w:rPr>
          <w:rFonts w:ascii="BrowalliaUPC" w:hAnsi="BrowalliaUPC" w:cs="BrowalliaUPC"/>
          <w:b/>
          <w:bCs/>
          <w:sz w:val="32"/>
          <w:szCs w:val="32"/>
          <w:cs/>
        </w:rPr>
        <w:t xml:space="preserve"> </w:t>
      </w:r>
      <w:r w:rsidR="00C77F61" w:rsidRPr="00C77F61">
        <w:rPr>
          <w:rFonts w:ascii="BrowalliaUPC" w:hAnsi="BrowalliaUPC" w:cs="BrowalliaUPC"/>
          <w:b/>
          <w:bCs/>
          <w:sz w:val="32"/>
          <w:szCs w:val="32"/>
          <w:cs/>
        </w:rPr>
        <w:t>การปรับปรุงหลักเกณฑ์</w:t>
      </w:r>
      <w:bookmarkStart w:id="0" w:name="_GoBack"/>
      <w:r w:rsidR="00C77F61" w:rsidRPr="00C77F61">
        <w:rPr>
          <w:rFonts w:ascii="BrowalliaUPC" w:hAnsi="BrowalliaUPC" w:cs="BrowalliaUPC"/>
          <w:b/>
          <w:bCs/>
          <w:sz w:val="32"/>
          <w:szCs w:val="32"/>
          <w:cs/>
        </w:rPr>
        <w:t>การคำนวณราคา ณ โรงกลั่นน้ำมันเชื้อเพลิงและค่าการตลาดน้ำมันเชื้อเพลิง</w:t>
      </w:r>
    </w:p>
    <w:bookmarkEnd w:id="0"/>
    <w:p w:rsidR="000B7062" w:rsidRPr="006A53D4" w:rsidRDefault="000B7062" w:rsidP="00CE560F">
      <w:pPr>
        <w:spacing w:line="240" w:lineRule="auto"/>
        <w:rPr>
          <w:rFonts w:ascii="BrowalliaUPC" w:hAnsi="BrowalliaUPC" w:cs="BrowalliaUPC"/>
          <w:sz w:val="32"/>
          <w:szCs w:val="32"/>
          <w:u w:val="single"/>
        </w:rPr>
      </w:pPr>
      <w:r w:rsidRPr="006A53D4">
        <w:rPr>
          <w:rFonts w:ascii="BrowalliaUPC" w:hAnsi="BrowalliaUPC" w:cs="BrowalliaUPC"/>
          <w:sz w:val="32"/>
          <w:szCs w:val="32"/>
          <w:u w:val="single"/>
          <w:cs/>
        </w:rPr>
        <w:t>สาระสำคัญ</w:t>
      </w:r>
    </w:p>
    <w:p w:rsidR="00C77F61" w:rsidRPr="00C77F61" w:rsidRDefault="00C77F61" w:rsidP="00C77F61">
      <w:pPr>
        <w:spacing w:before="240" w:after="0" w:line="240" w:lineRule="auto"/>
        <w:jc w:val="thaiDistribute"/>
        <w:rPr>
          <w:rFonts w:ascii="BrowalliaUPC" w:hAnsi="BrowalliaUPC" w:cs="BrowalliaUPC"/>
          <w:sz w:val="32"/>
          <w:szCs w:val="32"/>
        </w:rPr>
      </w:pPr>
      <w:r w:rsidRPr="00C77F61">
        <w:rPr>
          <w:rFonts w:ascii="BrowalliaUPC" w:hAnsi="BrowalliaUPC" w:cs="BrowalliaUPC"/>
          <w:sz w:val="32"/>
          <w:szCs w:val="32"/>
          <w:cs/>
        </w:rPr>
        <w:t>1. สำนักงานนโยบายและแผนพลังงาน (สนพ.) ได้ศึกษาการปรับปรุงโครงสร้างราคา ณ โรงกลั่นน้ำมันเชื้อเพลิง และค่าการตลาดน้ำมันเชื้อเพลิง และได้นำเสนอผลการศึกษาต่อคณะกรรมการบริหารนโยบายพลังงาน (กบง.) เมื่อวันที่ 5 กรกฎาคม 2560 ซึ่งที่ประชุมได้มีมติรับทราบผลการศึกษาและมอบหมายให้ สนพ. สื่อสารให้ผู้มีส่วนได้ส่วนเสียทุกกลุ่มได้รับทราบจนได้ข้อสรุปที่ทุกฝ่ายเห็นชอบร่วมกันและนำเสนอ กบง. เพื่อพิจารณาต่อไป ซึ่ง สนพ. ได้จัดการประชุมสื่อสารผลการศึกษาให้กับกลุ่มผู้ผลิตน้ำมันเชื้อเพลิง กลุ่มผู้ค้าน้ำมันเชื้อเพลิง กลุ่มผู้ใช้น้ำมันเชื้อเพลิง และกลุ่มนักวิชาการพลังงาน และได้รวบรวมข้อสรุปจากการประชุมสื่อสาร รวมทั้งความเห็นเพิ่มเติมจากทุกกลุ่มเพื่อนำเสนอ กบง. พิจารณา</w:t>
      </w:r>
    </w:p>
    <w:p w:rsidR="00C77F61" w:rsidRPr="00C77F61" w:rsidRDefault="00C77F61" w:rsidP="00C77F61">
      <w:pPr>
        <w:spacing w:before="240" w:after="0" w:line="240" w:lineRule="auto"/>
        <w:jc w:val="thaiDistribute"/>
        <w:rPr>
          <w:rFonts w:ascii="BrowalliaUPC" w:hAnsi="BrowalliaUPC" w:cs="BrowalliaUPC"/>
          <w:sz w:val="32"/>
          <w:szCs w:val="32"/>
        </w:rPr>
      </w:pPr>
    </w:p>
    <w:p w:rsidR="00C77F61" w:rsidRPr="00C77F61" w:rsidRDefault="00C77F61" w:rsidP="00C77F61">
      <w:pPr>
        <w:spacing w:before="240" w:after="0" w:line="240" w:lineRule="auto"/>
        <w:jc w:val="thaiDistribute"/>
        <w:rPr>
          <w:rFonts w:ascii="BrowalliaUPC" w:hAnsi="BrowalliaUPC" w:cs="BrowalliaUPC"/>
          <w:sz w:val="32"/>
          <w:szCs w:val="32"/>
        </w:rPr>
      </w:pPr>
      <w:r w:rsidRPr="00C77F61">
        <w:rPr>
          <w:rFonts w:ascii="BrowalliaUPC" w:hAnsi="BrowalliaUPC" w:cs="BrowalliaUPC"/>
          <w:sz w:val="32"/>
          <w:szCs w:val="32"/>
          <w:cs/>
        </w:rPr>
        <w:t>2. ผลการศึกษาการปรับปรุงโครงสร้างราคา ณ โรงกลั่นน้ำมันเชื้อเพลิง พบว่า แนวทางการปรับปรุงการกำหนดราคา ณ โรงกลั่นน้ำมันเชื้อเพลิง ตามวิธีปัจจุบัน (</w:t>
      </w:r>
      <w:r w:rsidRPr="00C77F61">
        <w:rPr>
          <w:rFonts w:ascii="BrowalliaUPC" w:hAnsi="BrowalliaUPC" w:cs="BrowalliaUPC"/>
          <w:sz w:val="32"/>
          <w:szCs w:val="32"/>
        </w:rPr>
        <w:t xml:space="preserve">Import Parity) </w:t>
      </w:r>
      <w:r w:rsidRPr="00C77F61">
        <w:rPr>
          <w:rFonts w:ascii="BrowalliaUPC" w:hAnsi="BrowalliaUPC" w:cs="BrowalliaUPC"/>
          <w:sz w:val="32"/>
          <w:szCs w:val="32"/>
          <w:cs/>
        </w:rPr>
        <w:t xml:space="preserve">มีดังนี้ (1) ราคา </w:t>
      </w:r>
      <w:r w:rsidRPr="00C77F61">
        <w:rPr>
          <w:rFonts w:ascii="BrowalliaUPC" w:hAnsi="BrowalliaUPC" w:cs="BrowalliaUPC"/>
          <w:sz w:val="32"/>
          <w:szCs w:val="32"/>
        </w:rPr>
        <w:t xml:space="preserve">FOB </w:t>
      </w:r>
      <w:r w:rsidRPr="00C77F61">
        <w:rPr>
          <w:rFonts w:ascii="BrowalliaUPC" w:hAnsi="BrowalliaUPC" w:cs="BrowalliaUPC"/>
          <w:sz w:val="32"/>
          <w:szCs w:val="32"/>
          <w:cs/>
        </w:rPr>
        <w:t xml:space="preserve">ปัจจุบัน ใช้ราคาเฉลี่ยถ่วงน้ำหนัก 2 วันย้อนหลังโดยน้ำมันเบนซินอ้างอิง </w:t>
      </w:r>
      <w:r w:rsidRPr="00C77F61">
        <w:rPr>
          <w:rFonts w:ascii="BrowalliaUPC" w:hAnsi="BrowalliaUPC" w:cs="BrowalliaUPC"/>
          <w:sz w:val="32"/>
          <w:szCs w:val="32"/>
        </w:rPr>
        <w:t xml:space="preserve">MOPS EURO </w:t>
      </w:r>
      <w:r w:rsidRPr="00C77F61">
        <w:rPr>
          <w:rFonts w:ascii="BrowalliaUPC" w:hAnsi="BrowalliaUPC" w:cs="BrowalliaUPC"/>
          <w:sz w:val="32"/>
          <w:szCs w:val="32"/>
          <w:cs/>
        </w:rPr>
        <w:t xml:space="preserve">3 และน้ำมันดีเซลอ้างอิง </w:t>
      </w:r>
      <w:r w:rsidRPr="00C77F61">
        <w:rPr>
          <w:rFonts w:ascii="BrowalliaUPC" w:hAnsi="BrowalliaUPC" w:cs="BrowalliaUPC"/>
          <w:sz w:val="32"/>
          <w:szCs w:val="32"/>
        </w:rPr>
        <w:t xml:space="preserve">MOPS EURO </w:t>
      </w:r>
      <w:r w:rsidRPr="00C77F61">
        <w:rPr>
          <w:rFonts w:ascii="BrowalliaUPC" w:hAnsi="BrowalliaUPC" w:cs="BrowalliaUPC"/>
          <w:sz w:val="32"/>
          <w:szCs w:val="32"/>
          <w:cs/>
        </w:rPr>
        <w:t xml:space="preserve">3 ข้อเสนอคือให้ใช้ราคาเฉลี่ยถ่วงน้ำหนัก 2 วันย้อนหลัง โดยน้ำมันเบนซินอ้างอิง </w:t>
      </w:r>
      <w:r w:rsidRPr="00C77F61">
        <w:rPr>
          <w:rFonts w:ascii="BrowalliaUPC" w:hAnsi="BrowalliaUPC" w:cs="BrowalliaUPC"/>
          <w:sz w:val="32"/>
          <w:szCs w:val="32"/>
        </w:rPr>
        <w:t xml:space="preserve">MOPS EURO </w:t>
      </w:r>
      <w:r w:rsidRPr="00C77F61">
        <w:rPr>
          <w:rFonts w:ascii="BrowalliaUPC" w:hAnsi="BrowalliaUPC" w:cs="BrowalliaUPC"/>
          <w:sz w:val="32"/>
          <w:szCs w:val="32"/>
          <w:cs/>
        </w:rPr>
        <w:t xml:space="preserve">3 และน้ำมันดีเซลอ้างอิง </w:t>
      </w:r>
      <w:r w:rsidRPr="00C77F61">
        <w:rPr>
          <w:rFonts w:ascii="BrowalliaUPC" w:hAnsi="BrowalliaUPC" w:cs="BrowalliaUPC"/>
          <w:sz w:val="32"/>
          <w:szCs w:val="32"/>
        </w:rPr>
        <w:t xml:space="preserve">MOPS EURO </w:t>
      </w:r>
      <w:r w:rsidRPr="00C77F61">
        <w:rPr>
          <w:rFonts w:ascii="BrowalliaUPC" w:hAnsi="BrowalliaUPC" w:cs="BrowalliaUPC"/>
          <w:sz w:val="32"/>
          <w:szCs w:val="32"/>
          <w:cs/>
        </w:rPr>
        <w:t xml:space="preserve">4 (2) ค่าขนส่งน้ำมันเชื้อเพลิงจากสิงคโปร์มายังไทย (อ้างอิงอัตรา </w:t>
      </w:r>
      <w:r w:rsidRPr="00C77F61">
        <w:rPr>
          <w:rFonts w:ascii="BrowalliaUPC" w:hAnsi="BrowalliaUPC" w:cs="BrowalliaUPC"/>
          <w:sz w:val="32"/>
          <w:szCs w:val="32"/>
        </w:rPr>
        <w:t xml:space="preserve">World Scale) </w:t>
      </w:r>
      <w:r w:rsidRPr="00C77F61">
        <w:rPr>
          <w:rFonts w:ascii="BrowalliaUPC" w:hAnsi="BrowalliaUPC" w:cs="BrowalliaUPC"/>
          <w:sz w:val="32"/>
          <w:szCs w:val="32"/>
          <w:cs/>
        </w:rPr>
        <w:t xml:space="preserve">ปัจจุบัน ใช้ </w:t>
      </w:r>
      <w:r w:rsidRPr="00C77F61">
        <w:rPr>
          <w:rFonts w:ascii="BrowalliaUPC" w:hAnsi="BrowalliaUPC" w:cs="BrowalliaUPC"/>
          <w:sz w:val="32"/>
          <w:szCs w:val="32"/>
        </w:rPr>
        <w:t xml:space="preserve">AFRA </w:t>
      </w:r>
      <w:r w:rsidRPr="00C77F61">
        <w:rPr>
          <w:rFonts w:ascii="BrowalliaUPC" w:hAnsi="BrowalliaUPC" w:cs="BrowalliaUPC"/>
          <w:sz w:val="32"/>
          <w:szCs w:val="32"/>
          <w:cs/>
        </w:rPr>
        <w:t xml:space="preserve">ของเรือบรรทุกขนาด </w:t>
      </w:r>
      <w:r w:rsidRPr="00C77F61">
        <w:rPr>
          <w:rFonts w:ascii="BrowalliaUPC" w:hAnsi="BrowalliaUPC" w:cs="BrowalliaUPC"/>
          <w:sz w:val="32"/>
          <w:szCs w:val="32"/>
        </w:rPr>
        <w:t xml:space="preserve">GP </w:t>
      </w:r>
      <w:r w:rsidRPr="00C77F61">
        <w:rPr>
          <w:rFonts w:ascii="BrowalliaUPC" w:hAnsi="BrowalliaUPC" w:cs="BrowalliaUPC"/>
          <w:sz w:val="32"/>
          <w:szCs w:val="32"/>
          <w:cs/>
        </w:rPr>
        <w:t xml:space="preserve">สำหรับดีเซลและเบนซินโดยใช้ค่าขนส่งทางเรือสิงคโปร์-กรุงเทพฯ ข้อเสนอ คือ ให้ใช้ </w:t>
      </w:r>
      <w:r w:rsidRPr="00C77F61">
        <w:rPr>
          <w:rFonts w:ascii="BrowalliaUPC" w:hAnsi="BrowalliaUPC" w:cs="BrowalliaUPC"/>
          <w:sz w:val="32"/>
          <w:szCs w:val="32"/>
        </w:rPr>
        <w:t xml:space="preserve">AFRA </w:t>
      </w:r>
      <w:r w:rsidRPr="00C77F61">
        <w:rPr>
          <w:rFonts w:ascii="BrowalliaUPC" w:hAnsi="BrowalliaUPC" w:cs="BrowalliaUPC"/>
          <w:sz w:val="32"/>
          <w:szCs w:val="32"/>
          <w:cs/>
        </w:rPr>
        <w:t xml:space="preserve">ของเรือขนาด </w:t>
      </w:r>
      <w:r w:rsidRPr="00C77F61">
        <w:rPr>
          <w:rFonts w:ascii="BrowalliaUPC" w:hAnsi="BrowalliaUPC" w:cs="BrowalliaUPC"/>
          <w:sz w:val="32"/>
          <w:szCs w:val="32"/>
        </w:rPr>
        <w:t>LR</w:t>
      </w:r>
      <w:r w:rsidRPr="00C77F61">
        <w:rPr>
          <w:rFonts w:ascii="BrowalliaUPC" w:hAnsi="BrowalliaUPC" w:cs="BrowalliaUPC"/>
          <w:sz w:val="32"/>
          <w:szCs w:val="32"/>
          <w:cs/>
        </w:rPr>
        <w:t xml:space="preserve">1 และคำนวณอัตราค่าขนส่งในแบบ </w:t>
      </w:r>
      <w:r w:rsidRPr="00C77F61">
        <w:rPr>
          <w:rFonts w:ascii="BrowalliaUPC" w:hAnsi="BrowalliaUPC" w:cs="BrowalliaUPC"/>
          <w:sz w:val="32"/>
          <w:szCs w:val="32"/>
        </w:rPr>
        <w:t xml:space="preserve">long term charter </w:t>
      </w:r>
      <w:r w:rsidRPr="00C77F61">
        <w:rPr>
          <w:rFonts w:ascii="BrowalliaUPC" w:hAnsi="BrowalliaUPC" w:cs="BrowalliaUPC"/>
          <w:sz w:val="32"/>
          <w:szCs w:val="32"/>
          <w:cs/>
        </w:rPr>
        <w:t xml:space="preserve">โดยใช้ค่าขนส่งทางเรือสิงคโปร์-ศรีราชา (3) ค่าประกันภัย ปัจจุบันใช้อัตราร้อยละ 0.084 ของ </w:t>
      </w:r>
      <w:r w:rsidRPr="00C77F61">
        <w:rPr>
          <w:rFonts w:ascii="BrowalliaUPC" w:hAnsi="BrowalliaUPC" w:cs="BrowalliaUPC"/>
          <w:sz w:val="32"/>
          <w:szCs w:val="32"/>
        </w:rPr>
        <w:t xml:space="preserve">C&amp;F </w:t>
      </w:r>
      <w:r w:rsidRPr="00C77F61">
        <w:rPr>
          <w:rFonts w:ascii="BrowalliaUPC" w:hAnsi="BrowalliaUPC" w:cs="BrowalliaUPC"/>
          <w:sz w:val="32"/>
          <w:szCs w:val="32"/>
          <w:cs/>
        </w:rPr>
        <w:t xml:space="preserve">ข้อเสนอคือใช้อัตราร้อยละ 0.084 ของ </w:t>
      </w:r>
      <w:r w:rsidRPr="00C77F61">
        <w:rPr>
          <w:rFonts w:ascii="BrowalliaUPC" w:hAnsi="BrowalliaUPC" w:cs="BrowalliaUPC"/>
          <w:sz w:val="32"/>
          <w:szCs w:val="32"/>
        </w:rPr>
        <w:t xml:space="preserve">C&amp;F </w:t>
      </w:r>
      <w:r w:rsidRPr="00C77F61">
        <w:rPr>
          <w:rFonts w:ascii="BrowalliaUPC" w:hAnsi="BrowalliaUPC" w:cs="BrowalliaUPC"/>
          <w:sz w:val="32"/>
          <w:szCs w:val="32"/>
          <w:cs/>
        </w:rPr>
        <w:t xml:space="preserve">เท่าเดิม (4) ค่าสูญเสียน้ำมันระหว่างการขนส่ง ปัจจุบันใช้อัตราร้อยละ 0.5 ของราคา </w:t>
      </w:r>
      <w:r w:rsidRPr="00C77F61">
        <w:rPr>
          <w:rFonts w:ascii="BrowalliaUPC" w:hAnsi="BrowalliaUPC" w:cs="BrowalliaUPC"/>
          <w:sz w:val="32"/>
          <w:szCs w:val="32"/>
        </w:rPr>
        <w:t xml:space="preserve">CIF </w:t>
      </w:r>
      <w:r w:rsidRPr="00C77F61">
        <w:rPr>
          <w:rFonts w:ascii="BrowalliaUPC" w:hAnsi="BrowalliaUPC" w:cs="BrowalliaUPC"/>
          <w:sz w:val="32"/>
          <w:szCs w:val="32"/>
          <w:cs/>
        </w:rPr>
        <w:t xml:space="preserve">ของน้ำมันทุกชนิดข้อเสนอคือใช้อัตราร้อยละ 0.3 ของ </w:t>
      </w:r>
      <w:r w:rsidRPr="00C77F61">
        <w:rPr>
          <w:rFonts w:ascii="BrowalliaUPC" w:hAnsi="BrowalliaUPC" w:cs="BrowalliaUPC"/>
          <w:sz w:val="32"/>
          <w:szCs w:val="32"/>
        </w:rPr>
        <w:t xml:space="preserve">CIF </w:t>
      </w:r>
      <w:r w:rsidRPr="00C77F61">
        <w:rPr>
          <w:rFonts w:ascii="BrowalliaUPC" w:hAnsi="BrowalliaUPC" w:cs="BrowalliaUPC"/>
          <w:sz w:val="32"/>
          <w:szCs w:val="32"/>
          <w:cs/>
        </w:rPr>
        <w:t>ของน้ำมันทุกชนิด (5) ค่าเสียเวลาเรือ ปัจจุบันน้ำมันดีเซลอยู่ที่ 0.16 เหรียญสหรัฐฯต่อบาร์เรล และน้ำมันเบนซินอยู่ที่ 0.1 เหรียญสหรัฐฯต่อบาร์เรล ข้อเสนอคือให้ยกเลิกทั้งหมด (6) ค่าปรับคุณภาพน้ำมัน ปัจจุบันน้ำมันเบนซิน 95 เบนซิน 91 และน้ำมันดีเซลอยู่ที่ 3.86 1.66 และ 2.88 เหรียญสหรัฐฯต่อบาร์เรล ตามลำดับ ข้อเสนอคือน้ำมันเบนซิน 95 และเบนซิน 91 อยู่ที่ 2.46 0.26 เหรียญสหรัฐฯต่อบาร์เรล ตามลำดับ ส่วนน้ำมันดีเซลให้ยกเลิก (7) ค่าใช้จ่ายสำรองน้ำมันเพื่อความมั่นคง ปัจจุบันอยู่ที่ 0.20 เหรียญสหรัฐฯต่อบาร์เรลข้อเสนอให้อยู่ที่ 0.68 เหรียญสหรัฐฯต่อบาร์เรล (สำรองน้ำมันดิบที่ร้อยละ 6) (8) ค่าบริการ</w:t>
      </w:r>
      <w:proofErr w:type="spellStart"/>
      <w:r w:rsidRPr="00C77F61">
        <w:rPr>
          <w:rFonts w:ascii="BrowalliaUPC" w:hAnsi="BrowalliaUPC" w:cs="BrowalliaUPC"/>
          <w:sz w:val="32"/>
          <w:szCs w:val="32"/>
          <w:cs/>
        </w:rPr>
        <w:t>อื่นๆ</w:t>
      </w:r>
      <w:proofErr w:type="spellEnd"/>
      <w:r w:rsidRPr="00C77F61">
        <w:rPr>
          <w:rFonts w:ascii="BrowalliaUPC" w:hAnsi="BrowalliaUPC" w:cs="BrowalliaUPC"/>
          <w:sz w:val="32"/>
          <w:szCs w:val="32"/>
          <w:cs/>
        </w:rPr>
        <w:t xml:space="preserve"> (ค่าใช้จ่ายคลังและค่าลำเลียง) ปัจจุบัน น้ำมันเบนซิน</w:t>
      </w:r>
      <w:r w:rsidRPr="00C77F61">
        <w:rPr>
          <w:rFonts w:ascii="BrowalliaUPC" w:hAnsi="BrowalliaUPC" w:cs="BrowalliaUPC"/>
          <w:sz w:val="32"/>
          <w:szCs w:val="32"/>
          <w:cs/>
        </w:rPr>
        <w:lastRenderedPageBreak/>
        <w:t>และน้ำมันดีเซลอยู่ที่ 0.67 และ 0.00 เหรียญสหรัฐฯ ต่อบาร์เรล ตามลำดับข้อเสนอคือให้มีค่าขนส่งน้ำมันทางท่อจากศรีราชา-กรุงเทพฯ ตามจริง (0.74 เหรียญสหรัฐฯ ต่อบาร์เรลหรือประมาณ 0.15 บาทต่อลิตร) (9) ค่าปรับอุณหภูมิเป็น 86 องศาฟาเรน</w:t>
      </w:r>
      <w:proofErr w:type="spellStart"/>
      <w:r w:rsidRPr="00C77F61">
        <w:rPr>
          <w:rFonts w:ascii="BrowalliaUPC" w:hAnsi="BrowalliaUPC" w:cs="BrowalliaUPC"/>
          <w:sz w:val="32"/>
          <w:szCs w:val="32"/>
          <w:cs/>
        </w:rPr>
        <w:t>ไฮต์</w:t>
      </w:r>
      <w:proofErr w:type="spellEnd"/>
      <w:r w:rsidRPr="00C77F61">
        <w:rPr>
          <w:rFonts w:ascii="BrowalliaUPC" w:hAnsi="BrowalliaUPC" w:cs="BrowalliaUPC"/>
          <w:sz w:val="32"/>
          <w:szCs w:val="32"/>
          <w:cs/>
        </w:rPr>
        <w:t xml:space="preserve"> ปัจจุบันน้ำมันเบนซิน 95 เบนซิน 91 น้ำมันดีเซล และน้ำมันเตาอยู่ที่ 0.9814 0.9810 0.9870 และ 0.9896 เหรียญสหรัฐฯต่อบาร์เรล ตามลำดับ ข้อเสนอคือให้คงเดิม และ (10) ค่าใช้จ่ายการผสมเอทานอลและ</w:t>
      </w:r>
      <w:proofErr w:type="spellStart"/>
      <w:r w:rsidRPr="00C77F61">
        <w:rPr>
          <w:rFonts w:ascii="BrowalliaUPC" w:hAnsi="BrowalliaUPC" w:cs="BrowalliaUPC"/>
          <w:sz w:val="32"/>
          <w:szCs w:val="32"/>
          <w:cs/>
        </w:rPr>
        <w:t>ไบ</w:t>
      </w:r>
      <w:proofErr w:type="spellEnd"/>
      <w:r w:rsidRPr="00C77F61">
        <w:rPr>
          <w:rFonts w:ascii="BrowalliaUPC" w:hAnsi="BrowalliaUPC" w:cs="BrowalliaUPC"/>
          <w:sz w:val="32"/>
          <w:szCs w:val="32"/>
          <w:cs/>
        </w:rPr>
        <w:t>โอดีเซล ปัจจุบันน้ำมันแก๊สโซ</w:t>
      </w:r>
      <w:proofErr w:type="spellStart"/>
      <w:r w:rsidRPr="00C77F61">
        <w:rPr>
          <w:rFonts w:ascii="BrowalliaUPC" w:hAnsi="BrowalliaUPC" w:cs="BrowalliaUPC"/>
          <w:sz w:val="32"/>
          <w:szCs w:val="32"/>
          <w:cs/>
        </w:rPr>
        <w:t>ฮอ</w:t>
      </w:r>
      <w:proofErr w:type="spellEnd"/>
      <w:r w:rsidRPr="00C77F61">
        <w:rPr>
          <w:rFonts w:ascii="BrowalliaUPC" w:hAnsi="BrowalliaUPC" w:cs="BrowalliaUPC"/>
          <w:sz w:val="32"/>
          <w:szCs w:val="32"/>
          <w:cs/>
        </w:rPr>
        <w:t>ล 95 แก๊สโซ</w:t>
      </w:r>
      <w:proofErr w:type="spellStart"/>
      <w:r w:rsidRPr="00C77F61">
        <w:rPr>
          <w:rFonts w:ascii="BrowalliaUPC" w:hAnsi="BrowalliaUPC" w:cs="BrowalliaUPC"/>
          <w:sz w:val="32"/>
          <w:szCs w:val="32"/>
          <w:cs/>
        </w:rPr>
        <w:t>ฮอ</w:t>
      </w:r>
      <w:proofErr w:type="spellEnd"/>
      <w:r w:rsidRPr="00C77F61">
        <w:rPr>
          <w:rFonts w:ascii="BrowalliaUPC" w:hAnsi="BrowalliaUPC" w:cs="BrowalliaUPC"/>
          <w:sz w:val="32"/>
          <w:szCs w:val="32"/>
          <w:cs/>
        </w:rPr>
        <w:t>ล 91 และน้ำมันแก๊สโซ</w:t>
      </w:r>
      <w:proofErr w:type="spellStart"/>
      <w:r w:rsidRPr="00C77F61">
        <w:rPr>
          <w:rFonts w:ascii="BrowalliaUPC" w:hAnsi="BrowalliaUPC" w:cs="BrowalliaUPC"/>
          <w:sz w:val="32"/>
          <w:szCs w:val="32"/>
          <w:cs/>
        </w:rPr>
        <w:t>ฮอ</w:t>
      </w:r>
      <w:proofErr w:type="spellEnd"/>
      <w:r w:rsidRPr="00C77F61">
        <w:rPr>
          <w:rFonts w:ascii="BrowalliaUPC" w:hAnsi="BrowalliaUPC" w:cs="BrowalliaUPC"/>
          <w:sz w:val="32"/>
          <w:szCs w:val="32"/>
          <w:cs/>
        </w:rPr>
        <w:t xml:space="preserve">ล </w:t>
      </w:r>
      <w:r w:rsidRPr="00C77F61">
        <w:rPr>
          <w:rFonts w:ascii="BrowalliaUPC" w:hAnsi="BrowalliaUPC" w:cs="BrowalliaUPC"/>
          <w:sz w:val="32"/>
          <w:szCs w:val="32"/>
        </w:rPr>
        <w:t>E</w:t>
      </w:r>
      <w:r w:rsidRPr="00C77F61">
        <w:rPr>
          <w:rFonts w:ascii="BrowalliaUPC" w:hAnsi="BrowalliaUPC" w:cs="BrowalliaUPC"/>
          <w:sz w:val="32"/>
          <w:szCs w:val="32"/>
          <w:cs/>
        </w:rPr>
        <w:t>20 อยู่ที่ 1 2 และ 1.7 เหรียญสหรัฐฯต่อบาร์เรล ข้อเสนอคือส่วนต่างระหว่างมูลค่าน้ำมันองค์ประกอบที่เติมลงไปและนำออกจากน้ำมันเบนซินพื้นฐาน โดยฝ่ายเลขานุการฯ เสนอให้เป็นศูนย์จนกว่าผู้ค้าจะส่งข้อมูลมายืนยัน</w:t>
      </w:r>
    </w:p>
    <w:p w:rsidR="00C77F61" w:rsidRPr="00C77F61" w:rsidRDefault="00C77F61" w:rsidP="00C77F61">
      <w:pPr>
        <w:spacing w:before="240" w:after="0" w:line="240" w:lineRule="auto"/>
        <w:jc w:val="thaiDistribute"/>
        <w:rPr>
          <w:rFonts w:ascii="BrowalliaUPC" w:hAnsi="BrowalliaUPC" w:cs="BrowalliaUPC"/>
          <w:sz w:val="32"/>
          <w:szCs w:val="32"/>
        </w:rPr>
      </w:pPr>
    </w:p>
    <w:p w:rsidR="00C77F61" w:rsidRPr="00C77F61" w:rsidRDefault="00C77F61" w:rsidP="00C77F61">
      <w:pPr>
        <w:spacing w:before="240" w:after="0" w:line="240" w:lineRule="auto"/>
        <w:jc w:val="thaiDistribute"/>
        <w:rPr>
          <w:rFonts w:ascii="BrowalliaUPC" w:hAnsi="BrowalliaUPC" w:cs="BrowalliaUPC"/>
          <w:sz w:val="32"/>
          <w:szCs w:val="32"/>
        </w:rPr>
      </w:pPr>
      <w:r w:rsidRPr="00C77F61">
        <w:rPr>
          <w:rFonts w:ascii="BrowalliaUPC" w:hAnsi="BrowalliaUPC" w:cs="BrowalliaUPC"/>
          <w:sz w:val="32"/>
          <w:szCs w:val="32"/>
          <w:cs/>
        </w:rPr>
        <w:t>3. ข้อเสนอจากผลการศึกษา ควรปรับปรุงสูตรกำหนดราคา ดังนี้ (1) น้ำมันแก๊สโซ</w:t>
      </w:r>
      <w:proofErr w:type="spellStart"/>
      <w:r w:rsidRPr="00C77F61">
        <w:rPr>
          <w:rFonts w:ascii="BrowalliaUPC" w:hAnsi="BrowalliaUPC" w:cs="BrowalliaUPC"/>
          <w:sz w:val="32"/>
          <w:szCs w:val="32"/>
          <w:cs/>
        </w:rPr>
        <w:t>ฮอล์</w:t>
      </w:r>
      <w:proofErr w:type="spellEnd"/>
      <w:r w:rsidRPr="00C77F61">
        <w:rPr>
          <w:rFonts w:ascii="BrowalliaUPC" w:hAnsi="BrowalliaUPC" w:cs="BrowalliaUPC"/>
          <w:sz w:val="32"/>
          <w:szCs w:val="32"/>
          <w:cs/>
        </w:rPr>
        <w:t xml:space="preserve"> 95 เท่ากับ (1-</w:t>
      </w:r>
      <w:r w:rsidRPr="00C77F61">
        <w:rPr>
          <w:rFonts w:ascii="BrowalliaUPC" w:hAnsi="BrowalliaUPC" w:cs="BrowalliaUPC"/>
          <w:sz w:val="32"/>
          <w:szCs w:val="32"/>
        </w:rPr>
        <w:t>X</w:t>
      </w:r>
      <w:r w:rsidRPr="00C77F61">
        <w:rPr>
          <w:rFonts w:ascii="BrowalliaUPC" w:hAnsi="BrowalliaUPC" w:cs="BrowalliaUPC"/>
          <w:sz w:val="32"/>
          <w:szCs w:val="32"/>
          <w:cs/>
        </w:rPr>
        <w:t>1) ของ [ราคาเบนซินออกเทน 95 + (</w:t>
      </w:r>
      <w:r w:rsidRPr="00C77F61">
        <w:rPr>
          <w:rFonts w:ascii="BrowalliaUPC" w:hAnsi="BrowalliaUPC" w:cs="BrowalliaUPC"/>
          <w:sz w:val="32"/>
          <w:szCs w:val="32"/>
        </w:rPr>
        <w:t>Y</w:t>
      </w:r>
      <w:r w:rsidRPr="00C77F61">
        <w:rPr>
          <w:rFonts w:ascii="BrowalliaUPC" w:hAnsi="BrowalliaUPC" w:cs="BrowalliaUPC"/>
          <w:sz w:val="32"/>
          <w:szCs w:val="32"/>
          <w:cs/>
        </w:rPr>
        <w:t>1</w:t>
      </w:r>
      <w:r w:rsidRPr="00C77F61">
        <w:rPr>
          <w:rFonts w:ascii="BrowalliaUPC" w:hAnsi="BrowalliaUPC" w:cs="BrowalliaUPC"/>
          <w:sz w:val="32"/>
          <w:szCs w:val="32"/>
        </w:rPr>
        <w:t xml:space="preserve"> $/BBL x </w:t>
      </w:r>
      <w:r w:rsidRPr="00C77F61">
        <w:rPr>
          <w:rFonts w:ascii="BrowalliaUPC" w:hAnsi="BrowalliaUPC" w:cs="BrowalliaUPC"/>
          <w:sz w:val="32"/>
          <w:szCs w:val="32"/>
          <w:cs/>
        </w:rPr>
        <w:t>อัตราแลกเปลี่ยน / 158.984)] + (</w:t>
      </w:r>
      <w:r w:rsidRPr="00C77F61">
        <w:rPr>
          <w:rFonts w:ascii="BrowalliaUPC" w:hAnsi="BrowalliaUPC" w:cs="BrowalliaUPC"/>
          <w:sz w:val="32"/>
          <w:szCs w:val="32"/>
        </w:rPr>
        <w:t>X</w:t>
      </w:r>
      <w:r w:rsidRPr="00C77F61">
        <w:rPr>
          <w:rFonts w:ascii="BrowalliaUPC" w:hAnsi="BrowalliaUPC" w:cs="BrowalliaUPC"/>
          <w:sz w:val="32"/>
          <w:szCs w:val="32"/>
          <w:cs/>
        </w:rPr>
        <w:t>1) ของราคาเอทานอล (2) น้ำมันแก๊สโซ</w:t>
      </w:r>
      <w:proofErr w:type="spellStart"/>
      <w:r w:rsidRPr="00C77F61">
        <w:rPr>
          <w:rFonts w:ascii="BrowalliaUPC" w:hAnsi="BrowalliaUPC" w:cs="BrowalliaUPC"/>
          <w:sz w:val="32"/>
          <w:szCs w:val="32"/>
          <w:cs/>
        </w:rPr>
        <w:t>ฮอล์</w:t>
      </w:r>
      <w:proofErr w:type="spellEnd"/>
      <w:r w:rsidRPr="00C77F61">
        <w:rPr>
          <w:rFonts w:ascii="BrowalliaUPC" w:hAnsi="BrowalliaUPC" w:cs="BrowalliaUPC"/>
          <w:sz w:val="32"/>
          <w:szCs w:val="32"/>
          <w:cs/>
        </w:rPr>
        <w:t xml:space="preserve"> 91 เท่ากับ (1-</w:t>
      </w:r>
      <w:r w:rsidRPr="00C77F61">
        <w:rPr>
          <w:rFonts w:ascii="BrowalliaUPC" w:hAnsi="BrowalliaUPC" w:cs="BrowalliaUPC"/>
          <w:sz w:val="32"/>
          <w:szCs w:val="32"/>
        </w:rPr>
        <w:t>X</w:t>
      </w:r>
      <w:r w:rsidRPr="00C77F61">
        <w:rPr>
          <w:rFonts w:ascii="BrowalliaUPC" w:hAnsi="BrowalliaUPC" w:cs="BrowalliaUPC"/>
          <w:sz w:val="32"/>
          <w:szCs w:val="32"/>
          <w:cs/>
        </w:rPr>
        <w:t>2) ของ [ราคาเบนซินออกเทน 91 + (</w:t>
      </w:r>
      <w:r w:rsidRPr="00C77F61">
        <w:rPr>
          <w:rFonts w:ascii="BrowalliaUPC" w:hAnsi="BrowalliaUPC" w:cs="BrowalliaUPC"/>
          <w:sz w:val="32"/>
          <w:szCs w:val="32"/>
        </w:rPr>
        <w:t>Y</w:t>
      </w:r>
      <w:r w:rsidRPr="00C77F61">
        <w:rPr>
          <w:rFonts w:ascii="BrowalliaUPC" w:hAnsi="BrowalliaUPC" w:cs="BrowalliaUPC"/>
          <w:sz w:val="32"/>
          <w:szCs w:val="32"/>
          <w:cs/>
        </w:rPr>
        <w:t>2</w:t>
      </w:r>
      <w:r w:rsidRPr="00C77F61">
        <w:rPr>
          <w:rFonts w:ascii="BrowalliaUPC" w:hAnsi="BrowalliaUPC" w:cs="BrowalliaUPC"/>
          <w:sz w:val="32"/>
          <w:szCs w:val="32"/>
        </w:rPr>
        <w:t xml:space="preserve"> $/BBL x </w:t>
      </w:r>
      <w:r w:rsidRPr="00C77F61">
        <w:rPr>
          <w:rFonts w:ascii="BrowalliaUPC" w:hAnsi="BrowalliaUPC" w:cs="BrowalliaUPC"/>
          <w:sz w:val="32"/>
          <w:szCs w:val="32"/>
          <w:cs/>
        </w:rPr>
        <w:t>อัตราแลกเปลี่ยน / 158.984)] + (</w:t>
      </w:r>
      <w:r w:rsidRPr="00C77F61">
        <w:rPr>
          <w:rFonts w:ascii="BrowalliaUPC" w:hAnsi="BrowalliaUPC" w:cs="BrowalliaUPC"/>
          <w:sz w:val="32"/>
          <w:szCs w:val="32"/>
        </w:rPr>
        <w:t>X</w:t>
      </w:r>
      <w:r w:rsidRPr="00C77F61">
        <w:rPr>
          <w:rFonts w:ascii="BrowalliaUPC" w:hAnsi="BrowalliaUPC" w:cs="BrowalliaUPC"/>
          <w:sz w:val="32"/>
          <w:szCs w:val="32"/>
          <w:cs/>
        </w:rPr>
        <w:t>2) ของราคาเอทานอล (3) น้ำมันแก๊สโซ</w:t>
      </w:r>
      <w:proofErr w:type="spellStart"/>
      <w:r w:rsidRPr="00C77F61">
        <w:rPr>
          <w:rFonts w:ascii="BrowalliaUPC" w:hAnsi="BrowalliaUPC" w:cs="BrowalliaUPC"/>
          <w:sz w:val="32"/>
          <w:szCs w:val="32"/>
          <w:cs/>
        </w:rPr>
        <w:t>ฮอล์</w:t>
      </w:r>
      <w:proofErr w:type="spellEnd"/>
      <w:r w:rsidRPr="00C77F61">
        <w:rPr>
          <w:rFonts w:ascii="BrowalliaUPC" w:hAnsi="BrowalliaUPC" w:cs="BrowalliaUPC"/>
          <w:sz w:val="32"/>
          <w:szCs w:val="32"/>
          <w:cs/>
        </w:rPr>
        <w:t xml:space="preserve"> </w:t>
      </w:r>
      <w:r w:rsidRPr="00C77F61">
        <w:rPr>
          <w:rFonts w:ascii="BrowalliaUPC" w:hAnsi="BrowalliaUPC" w:cs="BrowalliaUPC"/>
          <w:sz w:val="32"/>
          <w:szCs w:val="32"/>
        </w:rPr>
        <w:t>E</w:t>
      </w:r>
      <w:r w:rsidRPr="00C77F61">
        <w:rPr>
          <w:rFonts w:ascii="BrowalliaUPC" w:hAnsi="BrowalliaUPC" w:cs="BrowalliaUPC"/>
          <w:sz w:val="32"/>
          <w:szCs w:val="32"/>
          <w:cs/>
        </w:rPr>
        <w:t>20 เท่ากับ (1-</w:t>
      </w:r>
      <w:r w:rsidRPr="00C77F61">
        <w:rPr>
          <w:rFonts w:ascii="BrowalliaUPC" w:hAnsi="BrowalliaUPC" w:cs="BrowalliaUPC"/>
          <w:sz w:val="32"/>
          <w:szCs w:val="32"/>
        </w:rPr>
        <w:t>X</w:t>
      </w:r>
      <w:r w:rsidRPr="00C77F61">
        <w:rPr>
          <w:rFonts w:ascii="BrowalliaUPC" w:hAnsi="BrowalliaUPC" w:cs="BrowalliaUPC"/>
          <w:sz w:val="32"/>
          <w:szCs w:val="32"/>
          <w:cs/>
        </w:rPr>
        <w:t>3) ของ [ราคาเบนซินออกเทน 95 + (</w:t>
      </w:r>
      <w:r w:rsidRPr="00C77F61">
        <w:rPr>
          <w:rFonts w:ascii="BrowalliaUPC" w:hAnsi="BrowalliaUPC" w:cs="BrowalliaUPC"/>
          <w:sz w:val="32"/>
          <w:szCs w:val="32"/>
        </w:rPr>
        <w:t>Y</w:t>
      </w:r>
      <w:r w:rsidRPr="00C77F61">
        <w:rPr>
          <w:rFonts w:ascii="BrowalliaUPC" w:hAnsi="BrowalliaUPC" w:cs="BrowalliaUPC"/>
          <w:sz w:val="32"/>
          <w:szCs w:val="32"/>
          <w:cs/>
        </w:rPr>
        <w:t>3</w:t>
      </w:r>
      <w:r w:rsidRPr="00C77F61">
        <w:rPr>
          <w:rFonts w:ascii="BrowalliaUPC" w:hAnsi="BrowalliaUPC" w:cs="BrowalliaUPC"/>
          <w:sz w:val="32"/>
          <w:szCs w:val="32"/>
        </w:rPr>
        <w:t xml:space="preserve"> $/BBL x </w:t>
      </w:r>
      <w:r w:rsidRPr="00C77F61">
        <w:rPr>
          <w:rFonts w:ascii="BrowalliaUPC" w:hAnsi="BrowalliaUPC" w:cs="BrowalliaUPC"/>
          <w:sz w:val="32"/>
          <w:szCs w:val="32"/>
          <w:cs/>
        </w:rPr>
        <w:t>อัตราแลกเปลี่ยน / 158.984)] + (</w:t>
      </w:r>
      <w:r w:rsidRPr="00C77F61">
        <w:rPr>
          <w:rFonts w:ascii="BrowalliaUPC" w:hAnsi="BrowalliaUPC" w:cs="BrowalliaUPC"/>
          <w:sz w:val="32"/>
          <w:szCs w:val="32"/>
        </w:rPr>
        <w:t>X</w:t>
      </w:r>
      <w:r w:rsidRPr="00C77F61">
        <w:rPr>
          <w:rFonts w:ascii="BrowalliaUPC" w:hAnsi="BrowalliaUPC" w:cs="BrowalliaUPC"/>
          <w:sz w:val="32"/>
          <w:szCs w:val="32"/>
          <w:cs/>
        </w:rPr>
        <w:t>3) ของราคาเอทานอล (4) น้ำมันแก๊สโซ</w:t>
      </w:r>
      <w:proofErr w:type="spellStart"/>
      <w:r w:rsidRPr="00C77F61">
        <w:rPr>
          <w:rFonts w:ascii="BrowalliaUPC" w:hAnsi="BrowalliaUPC" w:cs="BrowalliaUPC"/>
          <w:sz w:val="32"/>
          <w:szCs w:val="32"/>
          <w:cs/>
        </w:rPr>
        <w:t>ฮอล์</w:t>
      </w:r>
      <w:proofErr w:type="spellEnd"/>
      <w:r w:rsidRPr="00C77F61">
        <w:rPr>
          <w:rFonts w:ascii="BrowalliaUPC" w:hAnsi="BrowalliaUPC" w:cs="BrowalliaUPC"/>
          <w:sz w:val="32"/>
          <w:szCs w:val="32"/>
          <w:cs/>
        </w:rPr>
        <w:t xml:space="preserve"> </w:t>
      </w:r>
      <w:r w:rsidRPr="00C77F61">
        <w:rPr>
          <w:rFonts w:ascii="BrowalliaUPC" w:hAnsi="BrowalliaUPC" w:cs="BrowalliaUPC"/>
          <w:sz w:val="32"/>
          <w:szCs w:val="32"/>
        </w:rPr>
        <w:t>E</w:t>
      </w:r>
      <w:r w:rsidRPr="00C77F61">
        <w:rPr>
          <w:rFonts w:ascii="BrowalliaUPC" w:hAnsi="BrowalliaUPC" w:cs="BrowalliaUPC"/>
          <w:sz w:val="32"/>
          <w:szCs w:val="32"/>
          <w:cs/>
        </w:rPr>
        <w:t>85 เท่ากับ (1-</w:t>
      </w:r>
      <w:r w:rsidRPr="00C77F61">
        <w:rPr>
          <w:rFonts w:ascii="BrowalliaUPC" w:hAnsi="BrowalliaUPC" w:cs="BrowalliaUPC"/>
          <w:sz w:val="32"/>
          <w:szCs w:val="32"/>
        </w:rPr>
        <w:t>X</w:t>
      </w:r>
      <w:r w:rsidRPr="00C77F61">
        <w:rPr>
          <w:rFonts w:ascii="BrowalliaUPC" w:hAnsi="BrowalliaUPC" w:cs="BrowalliaUPC"/>
          <w:sz w:val="32"/>
          <w:szCs w:val="32"/>
          <w:cs/>
        </w:rPr>
        <w:t>4) ของราคาเบนซินออกเทน 95 + (</w:t>
      </w:r>
      <w:r w:rsidRPr="00C77F61">
        <w:rPr>
          <w:rFonts w:ascii="BrowalliaUPC" w:hAnsi="BrowalliaUPC" w:cs="BrowalliaUPC"/>
          <w:sz w:val="32"/>
          <w:szCs w:val="32"/>
        </w:rPr>
        <w:t>X</w:t>
      </w:r>
      <w:r w:rsidRPr="00C77F61">
        <w:rPr>
          <w:rFonts w:ascii="BrowalliaUPC" w:hAnsi="BrowalliaUPC" w:cs="BrowalliaUPC"/>
          <w:sz w:val="32"/>
          <w:szCs w:val="32"/>
          <w:cs/>
        </w:rPr>
        <w:t>4) ของราคาเอทานอล (5) น้ำมันดีเซลหมุนเร็วอ้างอิงราคากลางของตลาดภูมิภาคเอเชีย เท่ากับ (</w:t>
      </w:r>
      <w:r w:rsidRPr="00C77F61">
        <w:rPr>
          <w:rFonts w:ascii="BrowalliaUPC" w:hAnsi="BrowalliaUPC" w:cs="BrowalliaUPC"/>
          <w:sz w:val="32"/>
          <w:szCs w:val="32"/>
        </w:rPr>
        <w:t xml:space="preserve">MOPS Gasoil </w:t>
      </w:r>
      <w:r w:rsidRPr="00C77F61">
        <w:rPr>
          <w:rFonts w:ascii="BrowalliaUPC" w:hAnsi="BrowalliaUPC" w:cs="BrowalliaUPC"/>
          <w:sz w:val="32"/>
          <w:szCs w:val="32"/>
          <w:cs/>
        </w:rPr>
        <w:t>50</w:t>
      </w:r>
      <w:r w:rsidRPr="00C77F61">
        <w:rPr>
          <w:rFonts w:ascii="BrowalliaUPC" w:hAnsi="BrowalliaUPC" w:cs="BrowalliaUPC"/>
          <w:sz w:val="32"/>
          <w:szCs w:val="32"/>
        </w:rPr>
        <w:t xml:space="preserve"> ppm + </w:t>
      </w:r>
      <w:r w:rsidRPr="00C77F61">
        <w:rPr>
          <w:rFonts w:ascii="BrowalliaUPC" w:hAnsi="BrowalliaUPC" w:cs="BrowalliaUPC"/>
          <w:sz w:val="32"/>
          <w:szCs w:val="32"/>
          <w:cs/>
        </w:rPr>
        <w:t>พรีเมียม) ที่ 60 องศาฟาเรน</w:t>
      </w:r>
      <w:proofErr w:type="spellStart"/>
      <w:r w:rsidRPr="00C77F61">
        <w:rPr>
          <w:rFonts w:ascii="BrowalliaUPC" w:hAnsi="BrowalliaUPC" w:cs="BrowalliaUPC"/>
          <w:sz w:val="32"/>
          <w:szCs w:val="32"/>
          <w:cs/>
        </w:rPr>
        <w:t>ไฮต์</w:t>
      </w:r>
      <w:proofErr w:type="spellEnd"/>
      <w:r w:rsidRPr="00C77F61">
        <w:rPr>
          <w:rFonts w:ascii="BrowalliaUPC" w:hAnsi="BrowalliaUPC" w:cs="BrowalliaUPC"/>
          <w:sz w:val="32"/>
          <w:szCs w:val="32"/>
          <w:cs/>
        </w:rPr>
        <w:t xml:space="preserve"> </w:t>
      </w:r>
      <w:r w:rsidRPr="00C77F61">
        <w:rPr>
          <w:rFonts w:ascii="BrowalliaUPC" w:hAnsi="BrowalliaUPC" w:cs="BrowalliaUPC"/>
          <w:sz w:val="32"/>
          <w:szCs w:val="32"/>
        </w:rPr>
        <w:t xml:space="preserve">x </w:t>
      </w:r>
      <w:r w:rsidRPr="00C77F61">
        <w:rPr>
          <w:rFonts w:ascii="BrowalliaUPC" w:hAnsi="BrowalliaUPC" w:cs="BrowalliaUPC"/>
          <w:sz w:val="32"/>
          <w:szCs w:val="32"/>
          <w:cs/>
        </w:rPr>
        <w:t>อัตราแลกเปลี่ยน /158.984 (6) น้ำมันเตา 600 (2%</w:t>
      </w:r>
      <w:r w:rsidRPr="00C77F61">
        <w:rPr>
          <w:rFonts w:ascii="BrowalliaUPC" w:hAnsi="BrowalliaUPC" w:cs="BrowalliaUPC"/>
          <w:sz w:val="32"/>
          <w:szCs w:val="32"/>
        </w:rPr>
        <w:t xml:space="preserve">S) FO </w:t>
      </w:r>
      <w:r w:rsidRPr="00C77F61">
        <w:rPr>
          <w:rFonts w:ascii="BrowalliaUPC" w:hAnsi="BrowalliaUPC" w:cs="BrowalliaUPC"/>
          <w:sz w:val="32"/>
          <w:szCs w:val="32"/>
          <w:cs/>
        </w:rPr>
        <w:t>600 (2%</w:t>
      </w:r>
      <w:r w:rsidRPr="00C77F61">
        <w:rPr>
          <w:rFonts w:ascii="BrowalliaUPC" w:hAnsi="BrowalliaUPC" w:cs="BrowalliaUPC"/>
          <w:sz w:val="32"/>
          <w:szCs w:val="32"/>
        </w:rPr>
        <w:t xml:space="preserve">S)t </w:t>
      </w:r>
      <w:r w:rsidRPr="00C77F61">
        <w:rPr>
          <w:rFonts w:ascii="BrowalliaUPC" w:hAnsi="BrowalliaUPC" w:cs="BrowalliaUPC"/>
          <w:sz w:val="32"/>
          <w:szCs w:val="32"/>
          <w:cs/>
        </w:rPr>
        <w:t>เท่ากับ [(</w:t>
      </w:r>
      <w:r w:rsidRPr="00C77F61">
        <w:rPr>
          <w:rFonts w:ascii="BrowalliaUPC" w:hAnsi="BrowalliaUPC" w:cs="BrowalliaUPC"/>
          <w:sz w:val="32"/>
          <w:szCs w:val="32"/>
        </w:rPr>
        <w:t xml:space="preserve">FO </w:t>
      </w:r>
      <w:r w:rsidRPr="00C77F61">
        <w:rPr>
          <w:rFonts w:ascii="BrowalliaUPC" w:hAnsi="BrowalliaUPC" w:cs="BrowalliaUPC"/>
          <w:sz w:val="32"/>
          <w:szCs w:val="32"/>
          <w:cs/>
        </w:rPr>
        <w:t>180 (2%)</w:t>
      </w:r>
      <w:r w:rsidRPr="00C77F61">
        <w:rPr>
          <w:rFonts w:ascii="BrowalliaUPC" w:hAnsi="BrowalliaUPC" w:cs="BrowalliaUPC"/>
          <w:sz w:val="32"/>
          <w:szCs w:val="32"/>
        </w:rPr>
        <w:t xml:space="preserve">t x </w:t>
      </w:r>
      <w:r w:rsidRPr="00C77F61">
        <w:rPr>
          <w:rFonts w:ascii="BrowalliaUPC" w:hAnsi="BrowalliaUPC" w:cs="BrowalliaUPC"/>
          <w:sz w:val="32"/>
          <w:szCs w:val="32"/>
          <w:cs/>
        </w:rPr>
        <w:t xml:space="preserve">0.836) + </w:t>
      </w:r>
      <w:r w:rsidRPr="00C77F61">
        <w:rPr>
          <w:rFonts w:ascii="BrowalliaUPC" w:hAnsi="BrowalliaUPC" w:cs="BrowalliaUPC"/>
          <w:sz w:val="32"/>
          <w:szCs w:val="32"/>
        </w:rPr>
        <w:t xml:space="preserve">MOPS Gasoil </w:t>
      </w:r>
      <w:r w:rsidRPr="00C77F61">
        <w:rPr>
          <w:rFonts w:ascii="BrowalliaUPC" w:hAnsi="BrowalliaUPC" w:cs="BrowalliaUPC"/>
          <w:sz w:val="32"/>
          <w:szCs w:val="32"/>
          <w:cs/>
        </w:rPr>
        <w:t>50</w:t>
      </w:r>
      <w:r w:rsidRPr="00C77F61">
        <w:rPr>
          <w:rFonts w:ascii="BrowalliaUPC" w:hAnsi="BrowalliaUPC" w:cs="BrowalliaUPC"/>
          <w:sz w:val="32"/>
          <w:szCs w:val="32"/>
        </w:rPr>
        <w:t xml:space="preserve"> ppm) x </w:t>
      </w:r>
      <w:r w:rsidRPr="00C77F61">
        <w:rPr>
          <w:rFonts w:ascii="BrowalliaUPC" w:hAnsi="BrowalliaUPC" w:cs="BrowalliaUPC"/>
          <w:sz w:val="32"/>
          <w:szCs w:val="32"/>
          <w:cs/>
        </w:rPr>
        <w:t xml:space="preserve">0.164] </w:t>
      </w:r>
      <w:r w:rsidRPr="00C77F61">
        <w:rPr>
          <w:rFonts w:ascii="BrowalliaUPC" w:hAnsi="BrowalliaUPC" w:cs="BrowalliaUPC"/>
          <w:sz w:val="32"/>
          <w:szCs w:val="32"/>
        </w:rPr>
        <w:t xml:space="preserve">x </w:t>
      </w:r>
      <w:r w:rsidRPr="00C77F61">
        <w:rPr>
          <w:rFonts w:ascii="BrowalliaUPC" w:hAnsi="BrowalliaUPC" w:cs="BrowalliaUPC"/>
          <w:sz w:val="32"/>
          <w:szCs w:val="32"/>
          <w:cs/>
        </w:rPr>
        <w:t xml:space="preserve">อัตราแลกเปลี่ยน </w:t>
      </w:r>
      <w:r w:rsidRPr="00C77F61">
        <w:rPr>
          <w:rFonts w:ascii="BrowalliaUPC" w:hAnsi="BrowalliaUPC" w:cs="BrowalliaUPC"/>
          <w:sz w:val="32"/>
          <w:szCs w:val="32"/>
        </w:rPr>
        <w:t xml:space="preserve">x </w:t>
      </w:r>
      <w:r w:rsidRPr="00C77F61">
        <w:rPr>
          <w:rFonts w:ascii="BrowalliaUPC" w:hAnsi="BrowalliaUPC" w:cs="BrowalliaUPC"/>
          <w:sz w:val="32"/>
          <w:szCs w:val="32"/>
          <w:cs/>
        </w:rPr>
        <w:t>0.9896 /158.984 และ (7) น้ำมันเตา 1500 (2%</w:t>
      </w:r>
      <w:r w:rsidRPr="00C77F61">
        <w:rPr>
          <w:rFonts w:ascii="BrowalliaUPC" w:hAnsi="BrowalliaUPC" w:cs="BrowalliaUPC"/>
          <w:sz w:val="32"/>
          <w:szCs w:val="32"/>
        </w:rPr>
        <w:t xml:space="preserve">S) FO </w:t>
      </w:r>
      <w:r w:rsidRPr="00C77F61">
        <w:rPr>
          <w:rFonts w:ascii="BrowalliaUPC" w:hAnsi="BrowalliaUPC" w:cs="BrowalliaUPC"/>
          <w:sz w:val="32"/>
          <w:szCs w:val="32"/>
          <w:cs/>
        </w:rPr>
        <w:t>1500 (2%</w:t>
      </w:r>
      <w:r w:rsidRPr="00C77F61">
        <w:rPr>
          <w:rFonts w:ascii="BrowalliaUPC" w:hAnsi="BrowalliaUPC" w:cs="BrowalliaUPC"/>
          <w:sz w:val="32"/>
          <w:szCs w:val="32"/>
        </w:rPr>
        <w:t xml:space="preserve">S)t </w:t>
      </w:r>
      <w:r w:rsidRPr="00C77F61">
        <w:rPr>
          <w:rFonts w:ascii="BrowalliaUPC" w:hAnsi="BrowalliaUPC" w:cs="BrowalliaUPC"/>
          <w:sz w:val="32"/>
          <w:szCs w:val="32"/>
          <w:cs/>
        </w:rPr>
        <w:t xml:space="preserve">เท่ากับ </w:t>
      </w:r>
      <w:r w:rsidRPr="00C77F61">
        <w:rPr>
          <w:rFonts w:ascii="BrowalliaUPC" w:hAnsi="BrowalliaUPC" w:cs="BrowalliaUPC"/>
          <w:sz w:val="32"/>
          <w:szCs w:val="32"/>
        </w:rPr>
        <w:t xml:space="preserve">FO </w:t>
      </w:r>
      <w:r w:rsidRPr="00C77F61">
        <w:rPr>
          <w:rFonts w:ascii="BrowalliaUPC" w:hAnsi="BrowalliaUPC" w:cs="BrowalliaUPC"/>
          <w:sz w:val="32"/>
          <w:szCs w:val="32"/>
          <w:cs/>
        </w:rPr>
        <w:t>180 (2%)</w:t>
      </w:r>
      <w:r w:rsidRPr="00C77F61">
        <w:rPr>
          <w:rFonts w:ascii="BrowalliaUPC" w:hAnsi="BrowalliaUPC" w:cs="BrowalliaUPC"/>
          <w:sz w:val="32"/>
          <w:szCs w:val="32"/>
        </w:rPr>
        <w:t xml:space="preserve">t x </w:t>
      </w:r>
      <w:r w:rsidRPr="00C77F61">
        <w:rPr>
          <w:rFonts w:ascii="BrowalliaUPC" w:hAnsi="BrowalliaUPC" w:cs="BrowalliaUPC"/>
          <w:sz w:val="32"/>
          <w:szCs w:val="32"/>
          <w:cs/>
        </w:rPr>
        <w:t xml:space="preserve">อัตราแลกเปลี่ยน </w:t>
      </w:r>
      <w:r w:rsidRPr="00C77F61">
        <w:rPr>
          <w:rFonts w:ascii="BrowalliaUPC" w:hAnsi="BrowalliaUPC" w:cs="BrowalliaUPC"/>
          <w:sz w:val="32"/>
          <w:szCs w:val="32"/>
        </w:rPr>
        <w:t xml:space="preserve">x </w:t>
      </w:r>
      <w:r w:rsidRPr="00C77F61">
        <w:rPr>
          <w:rFonts w:ascii="BrowalliaUPC" w:hAnsi="BrowalliaUPC" w:cs="BrowalliaUPC"/>
          <w:sz w:val="32"/>
          <w:szCs w:val="32"/>
          <w:cs/>
        </w:rPr>
        <w:t>0.9896 /158.984</w:t>
      </w:r>
    </w:p>
    <w:p w:rsidR="00C77F61" w:rsidRPr="00C77F61" w:rsidRDefault="00C77F61" w:rsidP="00C77F61">
      <w:pPr>
        <w:spacing w:before="240" w:after="0" w:line="240" w:lineRule="auto"/>
        <w:jc w:val="thaiDistribute"/>
        <w:rPr>
          <w:rFonts w:ascii="BrowalliaUPC" w:hAnsi="BrowalliaUPC" w:cs="BrowalliaUPC"/>
          <w:sz w:val="32"/>
          <w:szCs w:val="32"/>
        </w:rPr>
      </w:pPr>
    </w:p>
    <w:p w:rsidR="00C77F61" w:rsidRPr="00C77F61" w:rsidRDefault="00C77F61" w:rsidP="00C77F61">
      <w:pPr>
        <w:spacing w:before="240" w:after="0" w:line="240" w:lineRule="auto"/>
        <w:jc w:val="thaiDistribute"/>
        <w:rPr>
          <w:rFonts w:ascii="BrowalliaUPC" w:hAnsi="BrowalliaUPC" w:cs="BrowalliaUPC"/>
          <w:sz w:val="32"/>
          <w:szCs w:val="32"/>
        </w:rPr>
      </w:pPr>
      <w:r w:rsidRPr="00C77F61">
        <w:rPr>
          <w:rFonts w:ascii="BrowalliaUPC" w:hAnsi="BrowalliaUPC" w:cs="BrowalliaUPC"/>
          <w:sz w:val="32"/>
          <w:szCs w:val="32"/>
          <w:cs/>
        </w:rPr>
        <w:t xml:space="preserve">4. ผลการศึกษาค่าการตลาดน้ำมันเชื้อเพลิงที่เหมาะสม มีดังนี้ (1) ค่าใช้จ่ายดำเนินการของสถานีบริการน้ำมัน เสนอ กบง. เมื่อวันที่ 29 สิงหาคม 2559 ที่ 0.87 บาทต่อลิตร ข้อเสนอคือปรับเพิ่มเป็น 0.89 บาทต่อลิตร มาจากการปรับค่าเช่าที่ดินเพิ่มขึ้นตามราคาประเมินที่ดินในเขตกรุงเทพฯ และปริมณฑล ร้อยละ 13.06 (2) ค่าใช้จ่ายดำเนินการของ ม.7 เสนอ กบง. เมื่อวันที่ 29 สิงหาคม 2559 ที่ 0.58 บาทต่อลิตร ข้อเสนอคือปรับลดเป็น 0.54 บาทต่อลิตร มาจากการปรับเพิ่มขึ้นค่าจ้างและสวัสดิการ และค่าใช้จ่ายสำนักงาน 0.09 บาทต่อลิตร และการปรับลดสัดส่วนค่าใช้จ่ายสำรองน้ำมันเชื้อเพลิงตามกฎหมายลงให้ใกล้เคียงกับปริมาณน้ำมันที่ผู้ค้าฯ สำรองจริงที่ร้อยละ 3 คิดเป็น 0.13 บาทต่อลิตร (ขณะที่ </w:t>
      </w:r>
      <w:r w:rsidRPr="00C77F61">
        <w:rPr>
          <w:rFonts w:ascii="BrowalliaUPC" w:hAnsi="BrowalliaUPC" w:cs="BrowalliaUPC"/>
          <w:sz w:val="32"/>
          <w:szCs w:val="32"/>
        </w:rPr>
        <w:t xml:space="preserve">PTIT </w:t>
      </w:r>
      <w:r w:rsidRPr="00C77F61">
        <w:rPr>
          <w:rFonts w:ascii="BrowalliaUPC" w:hAnsi="BrowalliaUPC" w:cs="BrowalliaUPC"/>
          <w:sz w:val="32"/>
          <w:szCs w:val="32"/>
          <w:cs/>
        </w:rPr>
        <w:t xml:space="preserve">ศึกษา ปริมาณสำรองน้ำมันน้ำมันสำเร็จรูปอยู่ที่ร้อยละ 6) และ (3) ค่าลงทุนสถานีบริการ เสนอ กบง. เมื่อวันที่ 29 สิงหาคม 2559 ที่ 0.40 บาทต่อลิตร ข้อเสนอคือปรับเพิ่มเป็น 0.49 บาทต่อลิตร มาจากการปรับค่าลงทุนสถานีบริการเพิ่มเป็น 22 ล้านบาทต่อสถานี (ผลการศึกษาของ </w:t>
      </w:r>
      <w:r w:rsidRPr="00C77F61">
        <w:rPr>
          <w:rFonts w:ascii="BrowalliaUPC" w:hAnsi="BrowalliaUPC" w:cs="BrowalliaUPC"/>
          <w:sz w:val="32"/>
          <w:szCs w:val="32"/>
        </w:rPr>
        <w:t xml:space="preserve">PTIT </w:t>
      </w:r>
      <w:r w:rsidRPr="00C77F61">
        <w:rPr>
          <w:rFonts w:ascii="BrowalliaUPC" w:hAnsi="BrowalliaUPC" w:cs="BrowalliaUPC"/>
          <w:sz w:val="32"/>
          <w:szCs w:val="32"/>
          <w:cs/>
        </w:rPr>
        <w:t>ในปี 2556 มีค่าลงทุนที่ 18 ล้านบาท และข้อมูลจากผู้ค้าฯ มีค่าลงทุนอยู่ที่ประมาณ 25 ล้านบาท) และให้ผลตอบแทนการลงทุนที่</w:t>
      </w:r>
      <w:r w:rsidRPr="00C77F61">
        <w:rPr>
          <w:rFonts w:ascii="BrowalliaUPC" w:hAnsi="BrowalliaUPC" w:cs="BrowalliaUPC"/>
          <w:sz w:val="32"/>
          <w:szCs w:val="32"/>
          <w:cs/>
        </w:rPr>
        <w:lastRenderedPageBreak/>
        <w:t>ร้อยละ 8 ซึ่งจากผลการศึกษา พบว่า ค่าการตลาดที่เหมาะสมควรอยู่ที่ 1.92 เพิ่มขึ้น 0.07 บาทต่อลิตร จากที่เสนอ กบง. เมื่อวันที่ 29 สิงหาคม 2559 ที่ 1.85 บาทต่อลิตร และหากแยกค่าการตลาดที่เหมาะสมเป็นรายผลิตภัณฑ์ พบว่า น้ำมันเบนซิน 95 แก๊สโซ</w:t>
      </w:r>
      <w:proofErr w:type="spellStart"/>
      <w:r w:rsidRPr="00C77F61">
        <w:rPr>
          <w:rFonts w:ascii="BrowalliaUPC" w:hAnsi="BrowalliaUPC" w:cs="BrowalliaUPC"/>
          <w:sz w:val="32"/>
          <w:szCs w:val="32"/>
          <w:cs/>
        </w:rPr>
        <w:t>ฮอ</w:t>
      </w:r>
      <w:proofErr w:type="spellEnd"/>
      <w:r w:rsidRPr="00C77F61">
        <w:rPr>
          <w:rFonts w:ascii="BrowalliaUPC" w:hAnsi="BrowalliaUPC" w:cs="BrowalliaUPC"/>
          <w:sz w:val="32"/>
          <w:szCs w:val="32"/>
          <w:cs/>
        </w:rPr>
        <w:t>ล 91</w:t>
      </w:r>
      <w:r w:rsidRPr="00C77F61">
        <w:rPr>
          <w:rFonts w:ascii="BrowalliaUPC" w:hAnsi="BrowalliaUPC" w:cs="BrowalliaUPC"/>
          <w:sz w:val="32"/>
          <w:szCs w:val="32"/>
        </w:rPr>
        <w:t>E</w:t>
      </w:r>
      <w:r w:rsidRPr="00C77F61">
        <w:rPr>
          <w:rFonts w:ascii="BrowalliaUPC" w:hAnsi="BrowalliaUPC" w:cs="BrowalliaUPC"/>
          <w:sz w:val="32"/>
          <w:szCs w:val="32"/>
          <w:cs/>
        </w:rPr>
        <w:t>10 95</w:t>
      </w:r>
      <w:r w:rsidRPr="00C77F61">
        <w:rPr>
          <w:rFonts w:ascii="BrowalliaUPC" w:hAnsi="BrowalliaUPC" w:cs="BrowalliaUPC"/>
          <w:sz w:val="32"/>
          <w:szCs w:val="32"/>
        </w:rPr>
        <w:t>E</w:t>
      </w:r>
      <w:r w:rsidRPr="00C77F61">
        <w:rPr>
          <w:rFonts w:ascii="BrowalliaUPC" w:hAnsi="BrowalliaUPC" w:cs="BrowalliaUPC"/>
          <w:sz w:val="32"/>
          <w:szCs w:val="32"/>
          <w:cs/>
        </w:rPr>
        <w:t>10</w:t>
      </w:r>
      <w:r w:rsidRPr="00C77F61">
        <w:rPr>
          <w:rFonts w:ascii="BrowalliaUPC" w:hAnsi="BrowalliaUPC" w:cs="BrowalliaUPC"/>
          <w:sz w:val="32"/>
          <w:szCs w:val="32"/>
        </w:rPr>
        <w:t xml:space="preserve"> E</w:t>
      </w:r>
      <w:r w:rsidRPr="00C77F61">
        <w:rPr>
          <w:rFonts w:ascii="BrowalliaUPC" w:hAnsi="BrowalliaUPC" w:cs="BrowalliaUPC"/>
          <w:sz w:val="32"/>
          <w:szCs w:val="32"/>
          <w:cs/>
        </w:rPr>
        <w:t>20</w:t>
      </w:r>
      <w:r w:rsidRPr="00C77F61">
        <w:rPr>
          <w:rFonts w:ascii="BrowalliaUPC" w:hAnsi="BrowalliaUPC" w:cs="BrowalliaUPC"/>
          <w:sz w:val="32"/>
          <w:szCs w:val="32"/>
        </w:rPr>
        <w:t xml:space="preserve"> E</w:t>
      </w:r>
      <w:r w:rsidRPr="00C77F61">
        <w:rPr>
          <w:rFonts w:ascii="BrowalliaUPC" w:hAnsi="BrowalliaUPC" w:cs="BrowalliaUPC"/>
          <w:sz w:val="32"/>
          <w:szCs w:val="32"/>
          <w:cs/>
        </w:rPr>
        <w:t>85 และน้ำมันดีเซล ควรอยู่ที่ 2.60 1.97 1.97 2.00 4.00 และ1.85 บาทต่อลิตร ตามลำดับ ทำให้ค่าการตลาดเฉลี่ยจะอยู่ที่ 1.92 บาทต่อลิตร ซึ่งจากการประชุมสื่อสารผลการศึกษาค่าการตลาดน้ำมันเชื้อเพลิงที่เหมาะสม ผู้ค้าได้เสนอความเห็นดังนี้ (1) ไม่ควรมีการกำหนดค่าการตลาด เพราะอาจเป็นการควบคุมราคา (2) หากจำเป็นต้องกำหนดค่าการตลาดควรใช้เฉพาะในระบบราชการ ไม่ควรมีการเปิดเผยต่อสาธารณชนเพื่อป้องกันไม่ให้เกิดความสับสนและชี้นำตลาด และ (3) ควรสื่อสารให้เกิดความเข้าใจที่ถูกต้องว่าค่าการตลาดเป็นค่าใช้จ่ายในการดำเนินการและกำไร ฝ่ายเลขานุการฯ จึงเสนอให้เผยแพร่โครงสร้างราคาน้ำมันเชื้อเพลิงผ่านเว็บไซต์ สนพ. ถึงส่วนที่เป็นราคาขายส่ง ไม่ต้องแสดงค่าการตลาด แต่ให้มีการใช้ค่าการตลาดเฉพาะในหน่วยงานรัฐ เพื่อไม่ให้เกิดความสับสนและชี้นำตลาด สำหรับประชาชนทั่วไปยังสามารถเข้าดูราคาขายปลีกน้ำมันเชื้อเพลิงแต่ละแบรนด์ผ่านทางเว็บไซต์ สนพ. ได้เช่นเดิม</w:t>
      </w:r>
    </w:p>
    <w:p w:rsidR="00C77F61" w:rsidRPr="00C77F61" w:rsidRDefault="00C77F61" w:rsidP="00C77F61">
      <w:pPr>
        <w:spacing w:before="240" w:after="0" w:line="240" w:lineRule="auto"/>
        <w:jc w:val="thaiDistribute"/>
        <w:rPr>
          <w:rFonts w:ascii="BrowalliaUPC" w:hAnsi="BrowalliaUPC" w:cs="BrowalliaUPC"/>
          <w:sz w:val="32"/>
          <w:szCs w:val="32"/>
        </w:rPr>
      </w:pPr>
    </w:p>
    <w:p w:rsidR="00C77F61" w:rsidRPr="00C77F61" w:rsidRDefault="00C77F61" w:rsidP="00C77F61">
      <w:pPr>
        <w:spacing w:before="240" w:after="0" w:line="240" w:lineRule="auto"/>
        <w:jc w:val="thaiDistribute"/>
        <w:rPr>
          <w:rFonts w:ascii="BrowalliaUPC" w:hAnsi="BrowalliaUPC" w:cs="BrowalliaUPC"/>
          <w:sz w:val="32"/>
          <w:szCs w:val="32"/>
        </w:rPr>
      </w:pPr>
      <w:r w:rsidRPr="00C77F61">
        <w:rPr>
          <w:rFonts w:ascii="BrowalliaUPC" w:hAnsi="BrowalliaUPC" w:cs="BrowalliaUPC"/>
          <w:sz w:val="32"/>
          <w:szCs w:val="32"/>
          <w:cs/>
        </w:rPr>
        <w:t>5. ผลกระทบที่มีต่อโครงสร้างราคาน้ำมันเชื้อเพลิง หากมีการทบทวนหลักเกณฑ์การคำนวณราคา ณ โรงกลั่นฯ และค่าการตลาดตามผลการศึกษาที่เสนอ จะทำให้ราคา ณ โรงกลั่นน้ำมันเชื้อเพลิงปรับลดลงประมาณ 0.34 - 0.61 บาทต่อลิตร ขณะที่ค่าการตลาดเฉลี่ยน้ำมันเชื้อเพลิงจะปรับเพิ่มขึ้นจากเดิมประมาณ 0.42 บาทต่อลิตร ซึ่งจะทำให้ราคาขายปลีกไม่เปลี่ยนแปลงไปจากเดิมมากนัก แต่จะส่งผลให้โครงสร้างราคาน้ำมันเชื้อเพลิงสะท้อนต้นทุนที่แท้จริงมากขึ้น มีความเหมาะสมกับสภาวะตลาดในปัจจุบัน โปร่งใสและเป็นธรรมต่อทั้งผู้ผลิตและผู้บริโภค อีกทั้งเกิดประสิทธิภาพต่อระบบเศรษฐกิจในภาพรวม</w:t>
      </w:r>
    </w:p>
    <w:p w:rsidR="00C77F61" w:rsidRPr="00C77F61" w:rsidRDefault="00C77F61" w:rsidP="00C77F61">
      <w:pPr>
        <w:spacing w:before="240" w:after="0" w:line="240" w:lineRule="auto"/>
        <w:jc w:val="thaiDistribute"/>
        <w:rPr>
          <w:rFonts w:ascii="BrowalliaUPC" w:hAnsi="BrowalliaUPC" w:cs="BrowalliaUPC"/>
          <w:sz w:val="32"/>
          <w:szCs w:val="32"/>
        </w:rPr>
      </w:pPr>
    </w:p>
    <w:p w:rsidR="00C77F61" w:rsidRPr="00C77F61" w:rsidRDefault="00C77F61" w:rsidP="00C77F61">
      <w:pPr>
        <w:spacing w:before="240" w:after="0" w:line="240" w:lineRule="auto"/>
        <w:jc w:val="thaiDistribute"/>
        <w:rPr>
          <w:rFonts w:ascii="BrowalliaUPC" w:hAnsi="BrowalliaUPC" w:cs="BrowalliaUPC"/>
          <w:sz w:val="32"/>
          <w:szCs w:val="32"/>
          <w:u w:val="single"/>
        </w:rPr>
      </w:pPr>
      <w:r w:rsidRPr="00C77F61">
        <w:rPr>
          <w:rFonts w:ascii="BrowalliaUPC" w:hAnsi="BrowalliaUPC" w:cs="BrowalliaUPC"/>
          <w:sz w:val="32"/>
          <w:szCs w:val="32"/>
          <w:u w:val="single"/>
          <w:cs/>
        </w:rPr>
        <w:t>มติของที่ประชุม</w:t>
      </w:r>
    </w:p>
    <w:p w:rsidR="000B7062" w:rsidRPr="005F0225" w:rsidRDefault="00C77F61" w:rsidP="00C77F61">
      <w:pPr>
        <w:spacing w:before="240" w:after="0" w:line="240" w:lineRule="auto"/>
        <w:jc w:val="thaiDistribute"/>
        <w:rPr>
          <w:rFonts w:ascii="BrowalliaUPC" w:hAnsi="BrowalliaUPC" w:cs="BrowalliaUPC"/>
          <w:sz w:val="32"/>
          <w:szCs w:val="32"/>
        </w:rPr>
      </w:pPr>
      <w:r w:rsidRPr="00C77F61">
        <w:rPr>
          <w:rFonts w:ascii="BrowalliaUPC" w:hAnsi="BrowalliaUPC" w:cs="BrowalliaUPC"/>
          <w:sz w:val="32"/>
          <w:szCs w:val="32"/>
          <w:cs/>
        </w:rPr>
        <w:t>ทรับทราบหลักเกณฑ์การคำนวณราคา ณ โรงกลั่นน้ำมันเชื้อเพลิงและค่าการตลาดน้ำมันเชื้อเพลิง โดยให้ สนพ. ทบทวนและนำเสนอในการประชุมคณะกรรมการบริหารนโยบายพลังงานครั้งถัดไป</w:t>
      </w:r>
    </w:p>
    <w:sectPr w:rsidR="000B7062" w:rsidRPr="005F022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1EF"/>
    <w:rsid w:val="000818F6"/>
    <w:rsid w:val="000B7062"/>
    <w:rsid w:val="00186210"/>
    <w:rsid w:val="00190A93"/>
    <w:rsid w:val="001E21DF"/>
    <w:rsid w:val="002B01EF"/>
    <w:rsid w:val="00473140"/>
    <w:rsid w:val="004F0454"/>
    <w:rsid w:val="005F0225"/>
    <w:rsid w:val="006A53D4"/>
    <w:rsid w:val="00882D2F"/>
    <w:rsid w:val="00B37711"/>
    <w:rsid w:val="00C77F61"/>
    <w:rsid w:val="00CE560F"/>
    <w:rsid w:val="00D90A89"/>
    <w:rsid w:val="00DF46A2"/>
    <w:rsid w:val="00EB47BD"/>
    <w:rsid w:val="00F3412F"/>
    <w:rsid w:val="00F611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6A4E4"/>
  <w15:chartTrackingRefBased/>
  <w15:docId w15:val="{449CF6D0-136E-4BD5-AAF0-2341B2C20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F0225"/>
    <w:pPr>
      <w:spacing w:after="0" w:line="240" w:lineRule="auto"/>
    </w:pPr>
    <w:rPr>
      <w:rFonts w:ascii="Angsana New" w:eastAsia="Times New Roman" w:hAnsi="Angsana New" w:cs="Angsana New"/>
      <w:sz w:val="28"/>
    </w:rPr>
  </w:style>
  <w:style w:type="paragraph" w:styleId="ListParagraph">
    <w:name w:val="List Paragraph"/>
    <w:basedOn w:val="Normal"/>
    <w:uiPriority w:val="34"/>
    <w:qFormat/>
    <w:rsid w:val="00DF4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835387">
      <w:bodyDiv w:val="1"/>
      <w:marLeft w:val="0"/>
      <w:marRight w:val="0"/>
      <w:marTop w:val="0"/>
      <w:marBottom w:val="0"/>
      <w:divBdr>
        <w:top w:val="none" w:sz="0" w:space="0" w:color="auto"/>
        <w:left w:val="none" w:sz="0" w:space="0" w:color="auto"/>
        <w:bottom w:val="none" w:sz="0" w:space="0" w:color="auto"/>
        <w:right w:val="none" w:sz="0" w:space="0" w:color="auto"/>
      </w:divBdr>
    </w:div>
    <w:div w:id="256333284">
      <w:bodyDiv w:val="1"/>
      <w:marLeft w:val="0"/>
      <w:marRight w:val="0"/>
      <w:marTop w:val="0"/>
      <w:marBottom w:val="0"/>
      <w:divBdr>
        <w:top w:val="none" w:sz="0" w:space="0" w:color="auto"/>
        <w:left w:val="none" w:sz="0" w:space="0" w:color="auto"/>
        <w:bottom w:val="none" w:sz="0" w:space="0" w:color="auto"/>
        <w:right w:val="none" w:sz="0" w:space="0" w:color="auto"/>
      </w:divBdr>
    </w:div>
    <w:div w:id="268778863">
      <w:bodyDiv w:val="1"/>
      <w:marLeft w:val="0"/>
      <w:marRight w:val="0"/>
      <w:marTop w:val="0"/>
      <w:marBottom w:val="0"/>
      <w:divBdr>
        <w:top w:val="none" w:sz="0" w:space="0" w:color="auto"/>
        <w:left w:val="none" w:sz="0" w:space="0" w:color="auto"/>
        <w:bottom w:val="none" w:sz="0" w:space="0" w:color="auto"/>
        <w:right w:val="none" w:sz="0" w:space="0" w:color="auto"/>
      </w:divBdr>
      <w:divsChild>
        <w:div w:id="489757898">
          <w:marLeft w:val="0"/>
          <w:marRight w:val="0"/>
          <w:marTop w:val="0"/>
          <w:marBottom w:val="0"/>
          <w:divBdr>
            <w:top w:val="none" w:sz="0" w:space="0" w:color="auto"/>
            <w:left w:val="none" w:sz="0" w:space="0" w:color="auto"/>
            <w:bottom w:val="none" w:sz="0" w:space="0" w:color="auto"/>
            <w:right w:val="none" w:sz="0" w:space="0" w:color="auto"/>
          </w:divBdr>
          <w:divsChild>
            <w:div w:id="1519929523">
              <w:marLeft w:val="0"/>
              <w:marRight w:val="0"/>
              <w:marTop w:val="0"/>
              <w:marBottom w:val="0"/>
              <w:divBdr>
                <w:top w:val="none" w:sz="0" w:space="0" w:color="auto"/>
                <w:left w:val="none" w:sz="0" w:space="0" w:color="auto"/>
                <w:bottom w:val="none" w:sz="0" w:space="0" w:color="auto"/>
                <w:right w:val="none" w:sz="0" w:space="0" w:color="auto"/>
              </w:divBdr>
              <w:divsChild>
                <w:div w:id="796485608">
                  <w:marLeft w:val="0"/>
                  <w:marRight w:val="0"/>
                  <w:marTop w:val="0"/>
                  <w:marBottom w:val="0"/>
                  <w:divBdr>
                    <w:top w:val="none" w:sz="0" w:space="0" w:color="auto"/>
                    <w:left w:val="none" w:sz="0" w:space="0" w:color="auto"/>
                    <w:bottom w:val="none" w:sz="0" w:space="0" w:color="auto"/>
                    <w:right w:val="none" w:sz="0" w:space="0" w:color="auto"/>
                  </w:divBdr>
                  <w:divsChild>
                    <w:div w:id="1839148513">
                      <w:marLeft w:val="0"/>
                      <w:marRight w:val="0"/>
                      <w:marTop w:val="0"/>
                      <w:marBottom w:val="0"/>
                      <w:divBdr>
                        <w:top w:val="none" w:sz="0" w:space="0" w:color="auto"/>
                        <w:left w:val="none" w:sz="0" w:space="0" w:color="auto"/>
                        <w:bottom w:val="none" w:sz="0" w:space="0" w:color="auto"/>
                        <w:right w:val="none" w:sz="0" w:space="0" w:color="auto"/>
                      </w:divBdr>
                      <w:divsChild>
                        <w:div w:id="940187866">
                          <w:marLeft w:val="0"/>
                          <w:marRight w:val="0"/>
                          <w:marTop w:val="0"/>
                          <w:marBottom w:val="0"/>
                          <w:divBdr>
                            <w:top w:val="none" w:sz="0" w:space="0" w:color="auto"/>
                            <w:left w:val="none" w:sz="0" w:space="0" w:color="auto"/>
                            <w:bottom w:val="none" w:sz="0" w:space="0" w:color="auto"/>
                            <w:right w:val="none" w:sz="0" w:space="0" w:color="auto"/>
                          </w:divBdr>
                          <w:divsChild>
                            <w:div w:id="608783036">
                              <w:marLeft w:val="0"/>
                              <w:marRight w:val="0"/>
                              <w:marTop w:val="0"/>
                              <w:marBottom w:val="0"/>
                              <w:divBdr>
                                <w:top w:val="none" w:sz="0" w:space="0" w:color="auto"/>
                                <w:left w:val="none" w:sz="0" w:space="0" w:color="auto"/>
                                <w:bottom w:val="none" w:sz="0" w:space="0" w:color="auto"/>
                                <w:right w:val="none" w:sz="0" w:space="0" w:color="auto"/>
                              </w:divBdr>
                              <w:divsChild>
                                <w:div w:id="1420178083">
                                  <w:marLeft w:val="0"/>
                                  <w:marRight w:val="0"/>
                                  <w:marTop w:val="0"/>
                                  <w:marBottom w:val="0"/>
                                  <w:divBdr>
                                    <w:top w:val="none" w:sz="0" w:space="0" w:color="auto"/>
                                    <w:left w:val="none" w:sz="0" w:space="0" w:color="auto"/>
                                    <w:bottom w:val="none" w:sz="0" w:space="0" w:color="auto"/>
                                    <w:right w:val="none" w:sz="0" w:space="0" w:color="auto"/>
                                  </w:divBdr>
                                  <w:divsChild>
                                    <w:div w:id="1777212900">
                                      <w:marLeft w:val="0"/>
                                      <w:marRight w:val="0"/>
                                      <w:marTop w:val="0"/>
                                      <w:marBottom w:val="0"/>
                                      <w:divBdr>
                                        <w:top w:val="none" w:sz="0" w:space="0" w:color="auto"/>
                                        <w:left w:val="none" w:sz="0" w:space="0" w:color="auto"/>
                                        <w:bottom w:val="none" w:sz="0" w:space="0" w:color="auto"/>
                                        <w:right w:val="none" w:sz="0" w:space="0" w:color="auto"/>
                                      </w:divBdr>
                                      <w:divsChild>
                                        <w:div w:id="606959977">
                                          <w:marLeft w:val="0"/>
                                          <w:marRight w:val="0"/>
                                          <w:marTop w:val="0"/>
                                          <w:marBottom w:val="0"/>
                                          <w:divBdr>
                                            <w:top w:val="none" w:sz="0" w:space="0" w:color="auto"/>
                                            <w:left w:val="none" w:sz="0" w:space="0" w:color="auto"/>
                                            <w:bottom w:val="none" w:sz="0" w:space="0" w:color="auto"/>
                                            <w:right w:val="none" w:sz="0" w:space="0" w:color="auto"/>
                                          </w:divBdr>
                                          <w:divsChild>
                                            <w:div w:id="1870297521">
                                              <w:marLeft w:val="0"/>
                                              <w:marRight w:val="0"/>
                                              <w:marTop w:val="0"/>
                                              <w:marBottom w:val="360"/>
                                              <w:divBdr>
                                                <w:top w:val="none" w:sz="0" w:space="0" w:color="auto"/>
                                                <w:left w:val="none" w:sz="0" w:space="0" w:color="auto"/>
                                                <w:bottom w:val="dotted" w:sz="6" w:space="18" w:color="CCCCCC"/>
                                                <w:right w:val="none" w:sz="0" w:space="0" w:color="auto"/>
                                              </w:divBdr>
                                              <w:divsChild>
                                                <w:div w:id="532421403">
                                                  <w:marLeft w:val="0"/>
                                                  <w:marRight w:val="0"/>
                                                  <w:marTop w:val="0"/>
                                                  <w:marBottom w:val="0"/>
                                                  <w:divBdr>
                                                    <w:top w:val="none" w:sz="0" w:space="0" w:color="auto"/>
                                                    <w:left w:val="none" w:sz="0" w:space="0" w:color="auto"/>
                                                    <w:bottom w:val="none" w:sz="0" w:space="0" w:color="auto"/>
                                                    <w:right w:val="none" w:sz="0" w:space="0" w:color="auto"/>
                                                  </w:divBdr>
                                                  <w:divsChild>
                                                    <w:div w:id="191812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8650812">
      <w:bodyDiv w:val="1"/>
      <w:marLeft w:val="0"/>
      <w:marRight w:val="0"/>
      <w:marTop w:val="0"/>
      <w:marBottom w:val="0"/>
      <w:divBdr>
        <w:top w:val="none" w:sz="0" w:space="0" w:color="auto"/>
        <w:left w:val="none" w:sz="0" w:space="0" w:color="auto"/>
        <w:bottom w:val="none" w:sz="0" w:space="0" w:color="auto"/>
        <w:right w:val="none" w:sz="0" w:space="0" w:color="auto"/>
      </w:divBdr>
    </w:div>
    <w:div w:id="574779647">
      <w:bodyDiv w:val="1"/>
      <w:marLeft w:val="0"/>
      <w:marRight w:val="0"/>
      <w:marTop w:val="0"/>
      <w:marBottom w:val="0"/>
      <w:divBdr>
        <w:top w:val="none" w:sz="0" w:space="0" w:color="auto"/>
        <w:left w:val="none" w:sz="0" w:space="0" w:color="auto"/>
        <w:bottom w:val="none" w:sz="0" w:space="0" w:color="auto"/>
        <w:right w:val="none" w:sz="0" w:space="0" w:color="auto"/>
      </w:divBdr>
    </w:div>
    <w:div w:id="1143693143">
      <w:bodyDiv w:val="1"/>
      <w:marLeft w:val="0"/>
      <w:marRight w:val="0"/>
      <w:marTop w:val="0"/>
      <w:marBottom w:val="0"/>
      <w:divBdr>
        <w:top w:val="none" w:sz="0" w:space="0" w:color="auto"/>
        <w:left w:val="none" w:sz="0" w:space="0" w:color="auto"/>
        <w:bottom w:val="none" w:sz="0" w:space="0" w:color="auto"/>
        <w:right w:val="none" w:sz="0" w:space="0" w:color="auto"/>
      </w:divBdr>
    </w:div>
    <w:div w:id="1225141083">
      <w:bodyDiv w:val="1"/>
      <w:marLeft w:val="0"/>
      <w:marRight w:val="0"/>
      <w:marTop w:val="0"/>
      <w:marBottom w:val="0"/>
      <w:divBdr>
        <w:top w:val="none" w:sz="0" w:space="0" w:color="auto"/>
        <w:left w:val="none" w:sz="0" w:space="0" w:color="auto"/>
        <w:bottom w:val="none" w:sz="0" w:space="0" w:color="auto"/>
        <w:right w:val="none" w:sz="0" w:space="0" w:color="auto"/>
      </w:divBdr>
    </w:div>
    <w:div w:id="1372267771">
      <w:bodyDiv w:val="1"/>
      <w:marLeft w:val="0"/>
      <w:marRight w:val="0"/>
      <w:marTop w:val="0"/>
      <w:marBottom w:val="0"/>
      <w:divBdr>
        <w:top w:val="none" w:sz="0" w:space="0" w:color="auto"/>
        <w:left w:val="none" w:sz="0" w:space="0" w:color="auto"/>
        <w:bottom w:val="none" w:sz="0" w:space="0" w:color="auto"/>
        <w:right w:val="none" w:sz="0" w:space="0" w:color="auto"/>
      </w:divBdr>
    </w:div>
    <w:div w:id="1504273762">
      <w:bodyDiv w:val="1"/>
      <w:marLeft w:val="0"/>
      <w:marRight w:val="0"/>
      <w:marTop w:val="0"/>
      <w:marBottom w:val="0"/>
      <w:divBdr>
        <w:top w:val="none" w:sz="0" w:space="0" w:color="auto"/>
        <w:left w:val="none" w:sz="0" w:space="0" w:color="auto"/>
        <w:bottom w:val="none" w:sz="0" w:space="0" w:color="auto"/>
        <w:right w:val="none" w:sz="0" w:space="0" w:color="auto"/>
      </w:divBdr>
    </w:div>
    <w:div w:id="1575357239">
      <w:bodyDiv w:val="1"/>
      <w:marLeft w:val="0"/>
      <w:marRight w:val="0"/>
      <w:marTop w:val="0"/>
      <w:marBottom w:val="0"/>
      <w:divBdr>
        <w:top w:val="none" w:sz="0" w:space="0" w:color="auto"/>
        <w:left w:val="none" w:sz="0" w:space="0" w:color="auto"/>
        <w:bottom w:val="none" w:sz="0" w:space="0" w:color="auto"/>
        <w:right w:val="none" w:sz="0" w:space="0" w:color="auto"/>
      </w:divBdr>
    </w:div>
    <w:div w:id="1646154684">
      <w:bodyDiv w:val="1"/>
      <w:marLeft w:val="0"/>
      <w:marRight w:val="0"/>
      <w:marTop w:val="0"/>
      <w:marBottom w:val="0"/>
      <w:divBdr>
        <w:top w:val="none" w:sz="0" w:space="0" w:color="auto"/>
        <w:left w:val="none" w:sz="0" w:space="0" w:color="auto"/>
        <w:bottom w:val="none" w:sz="0" w:space="0" w:color="auto"/>
        <w:right w:val="none" w:sz="0" w:space="0" w:color="auto"/>
      </w:divBdr>
    </w:div>
    <w:div w:id="1662539456">
      <w:bodyDiv w:val="1"/>
      <w:marLeft w:val="0"/>
      <w:marRight w:val="0"/>
      <w:marTop w:val="0"/>
      <w:marBottom w:val="0"/>
      <w:divBdr>
        <w:top w:val="none" w:sz="0" w:space="0" w:color="auto"/>
        <w:left w:val="none" w:sz="0" w:space="0" w:color="auto"/>
        <w:bottom w:val="none" w:sz="0" w:space="0" w:color="auto"/>
        <w:right w:val="none" w:sz="0" w:space="0" w:color="auto"/>
      </w:divBdr>
    </w:div>
    <w:div w:id="1668049178">
      <w:bodyDiv w:val="1"/>
      <w:marLeft w:val="0"/>
      <w:marRight w:val="0"/>
      <w:marTop w:val="0"/>
      <w:marBottom w:val="0"/>
      <w:divBdr>
        <w:top w:val="none" w:sz="0" w:space="0" w:color="auto"/>
        <w:left w:val="none" w:sz="0" w:space="0" w:color="auto"/>
        <w:bottom w:val="none" w:sz="0" w:space="0" w:color="auto"/>
        <w:right w:val="none" w:sz="0" w:space="0" w:color="auto"/>
      </w:divBdr>
    </w:div>
    <w:div w:id="1721519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1028</Words>
  <Characters>5862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KANUANGSOOK SUWARN</dc:creator>
  <cp:keywords/>
  <dc:description/>
  <cp:lastModifiedBy>NONTIVAT INKLAB</cp:lastModifiedBy>
  <cp:revision>16</cp:revision>
  <dcterms:created xsi:type="dcterms:W3CDTF">2018-03-30T07:36:00Z</dcterms:created>
  <dcterms:modified xsi:type="dcterms:W3CDTF">2022-09-26T01:53:00Z</dcterms:modified>
</cp:coreProperties>
</file>